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p>
    <w:p>
      <w:pPr>
        <w:ind w:firstLine="300"/>
        <w:spacing w:line="360" w:lineRule="auto"/>
        <w:rPr>
          <w:sz w:val="60"/>
          <w:szCs w:val="60"/>
          <w:highlight w:val="none"/>
        </w:rPr>
      </w:pPr>
      <w:r>
        <w:rPr>
          <w:sz w:val="60"/>
          <w:szCs w:val="60"/>
          <w:highlight w:val="none"/>
        </w:rPr>
      </w:r>
      <w:r/>
    </w:p>
    <w:p>
      <w:pPr>
        <w:ind w:firstLine="315"/>
        <w:jc w:val="center"/>
        <w:spacing w:line="360" w:lineRule="auto"/>
        <w:rPr>
          <w:rFonts w:hint="eastAsia" w:ascii="宋体" w:hAnsi="宋体"/>
          <w:b/>
          <w:bCs/>
          <w:sz w:val="60"/>
          <w:szCs w:val="60"/>
          <w:highlight w:val="none"/>
        </w:rPr>
      </w:pPr>
      <w:r>
        <w:rPr>
          <w:rFonts w:hint="eastAsia" w:ascii="宋体" w:hAnsi="宋体" w:cs="宋体"/>
          <w:b/>
          <w:sz w:val="72"/>
          <w:szCs w:val="72"/>
          <w:highlight w:val="none"/>
          <w:lang w:eastAsia="zh-TW"/>
        </w:rPr>
        <w:t xml:space="preserve">竞争性磋商</w:t>
      </w:r>
      <w:r>
        <w:rPr>
          <w:rFonts w:hint="eastAsia" w:ascii="宋体" w:hAnsi="宋体" w:cs="宋体"/>
          <w:b/>
          <w:sz w:val="72"/>
          <w:szCs w:val="72"/>
          <w:highlight w:val="none"/>
        </w:rPr>
        <w:t xml:space="preserve">文件</w:t>
      </w:r>
      <w:bookmarkStart w:id="740" w:name="_GoBack"/>
      <w:r/>
      <w:bookmarkEnd w:id="740"/>
      <w:r/>
      <w:r/>
    </w:p>
    <w:p>
      <w:pPr>
        <w:ind w:firstLine="1606"/>
        <w:jc w:val="left"/>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1606"/>
        <w:jc w:val="left"/>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1606"/>
        <w:jc w:val="left"/>
        <w:rPr>
          <w:rFonts w:hint="eastAsia" w:ascii="宋体" w:hAnsi="宋体" w:cs="宋体"/>
          <w:b/>
          <w:bCs/>
          <w:sz w:val="32"/>
          <w:szCs w:val="32"/>
          <w:highlight w:val="none"/>
        </w:rPr>
      </w:pPr>
      <w:r>
        <w:rPr>
          <w:rFonts w:hint="eastAsia" w:ascii="宋体" w:hAnsi="宋体" w:cs="宋体"/>
          <w:b/>
          <w:bCs/>
          <w:sz w:val="32"/>
          <w:szCs w:val="32"/>
          <w:highlight w:val="none"/>
        </w:rPr>
      </w:r>
      <w:r/>
    </w:p>
    <w:p>
      <w:pPr>
        <w:jc w:val="left"/>
        <w:rPr>
          <w:rFonts w:hint="eastAsia" w:ascii="宋体" w:hAnsi="宋体" w:cs="宋体"/>
          <w:b/>
          <w:bCs/>
          <w:sz w:val="32"/>
          <w:szCs w:val="32"/>
          <w:highlight w:val="none"/>
        </w:rPr>
      </w:pPr>
      <w:r>
        <w:rPr>
          <w:rFonts w:hint="eastAsia" w:ascii="宋体" w:hAnsi="宋体" w:cs="宋体"/>
          <w:b/>
          <w:bCs/>
          <w:sz w:val="32"/>
          <w:szCs w:val="32"/>
          <w:highlight w:val="none"/>
        </w:rPr>
      </w:r>
      <w:r/>
    </w:p>
    <w:p>
      <w:pPr>
        <w:ind w:left="2564" w:hanging="1606"/>
        <w:spacing w:line="360" w:lineRule="auto"/>
        <w:rPr>
          <w:rFonts w:hint="eastAsia" w:ascii="宋体" w:hAnsi="宋体" w:cs="宋体"/>
          <w:b/>
          <w:bCs/>
          <w:sz w:val="32"/>
          <w:szCs w:val="32"/>
          <w:highlight w:val="none"/>
          <w:u w:val="single"/>
        </w:rPr>
      </w:pPr>
      <w:r>
        <w:rPr>
          <w:rFonts w:hint="eastAsia" w:ascii="宋体" w:hAnsi="宋体" w:cs="宋体"/>
          <w:b/>
          <w:bCs/>
          <w:sz w:val="32"/>
          <w:szCs w:val="32"/>
          <w:highlight w:val="none"/>
        </w:rPr>
        <w:t xml:space="preserve">项目名称：</w:t>
      </w:r>
      <w:r>
        <w:rPr>
          <w:rFonts w:hint="eastAsia" w:ascii="宋体" w:hAnsi="宋体" w:cs="宋体"/>
          <w:b/>
          <w:bCs/>
          <w:sz w:val="32"/>
          <w:szCs w:val="32"/>
          <w:highlight w:val="none"/>
          <w:u w:val="single"/>
        </w:rPr>
        <w:t xml:space="preserve">溧阳市人民医院审方系统升级及扩容项目</w:t>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964"/>
        <w:rPr>
          <w:rFonts w:hint="default"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 xml:space="preserve">项目编号/包号：</w:t>
      </w:r>
      <w:r>
        <w:rPr>
          <w:rFonts w:hint="eastAsia" w:ascii="宋体" w:hAnsi="宋体" w:cs="宋体"/>
          <w:b/>
          <w:bCs/>
          <w:sz w:val="32"/>
          <w:szCs w:val="32"/>
          <w:highlight w:val="none"/>
          <w:u w:val="single"/>
        </w:rPr>
        <w:t xml:space="preserve">JSZC-320481-LYZT-C2025-00</w:t>
      </w:r>
      <w:r>
        <w:rPr>
          <w:rFonts w:hint="eastAsia" w:ascii="宋体" w:hAnsi="宋体" w:cs="宋体"/>
          <w:b/>
          <w:bCs/>
          <w:sz w:val="32"/>
          <w:szCs w:val="32"/>
          <w:highlight w:val="none"/>
          <w:u w:val="single"/>
          <w:lang w:val="en-US" w:eastAsia="zh-CN"/>
        </w:rPr>
        <w:t xml:space="preserve">23</w:t>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964"/>
        <w:rPr>
          <w:rFonts w:hint="eastAsia" w:ascii="宋体" w:hAnsi="宋体" w:cs="宋体"/>
          <w:b/>
          <w:bCs/>
          <w:sz w:val="32"/>
          <w:szCs w:val="32"/>
          <w:highlight w:val="none"/>
        </w:rPr>
      </w:pP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u w:val="single"/>
        </w:rPr>
        <w:t xml:space="preserve">溧阳市人民医院</w:t>
      </w:r>
      <w:r/>
    </w:p>
    <w:p>
      <w:pPr>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1606"/>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964"/>
        <w:rPr>
          <w:rFonts w:hint="eastAsia" w:ascii="宋体" w:hAnsi="宋体" w:cs="宋体"/>
          <w:b/>
          <w:bCs/>
          <w:sz w:val="32"/>
          <w:szCs w:val="32"/>
          <w:highlight w:val="none"/>
        </w:rPr>
      </w:pPr>
      <w:r>
        <w:rPr>
          <w:rFonts w:hint="eastAsia" w:ascii="宋体" w:hAnsi="宋体" w:cs="宋体"/>
          <w:b/>
          <w:bCs/>
          <w:sz w:val="32"/>
          <w:szCs w:val="32"/>
          <w:highlight w:val="none"/>
        </w:rPr>
        <w:t xml:space="preserve">采购代理机构：</w:t>
      </w:r>
      <w:r>
        <w:rPr>
          <w:rFonts w:hint="eastAsia" w:ascii="宋体" w:hAnsi="宋体" w:cs="宋体"/>
          <w:b/>
          <w:bCs/>
          <w:sz w:val="32"/>
          <w:szCs w:val="32"/>
          <w:highlight w:val="none"/>
          <w:u w:val="single"/>
        </w:rPr>
        <w:t xml:space="preserve">溧阳市正投招投标有限公司</w:t>
      </w:r>
      <w:r/>
    </w:p>
    <w:p>
      <w:pPr>
        <w:jc w:val="left"/>
        <w:widowControl/>
        <w:rPr>
          <w:b/>
          <w:sz w:val="32"/>
          <w:szCs w:val="32"/>
          <w:highlight w:val="none"/>
        </w:rPr>
      </w:pPr>
      <w:r>
        <w:rPr>
          <w:b/>
          <w:bCs/>
          <w:sz w:val="44"/>
          <w:highlight w:val="none"/>
        </w:rPr>
        <w:br w:type="page" w:clear="all"/>
      </w:r>
      <w:r/>
    </w:p>
    <w:p>
      <w:pPr>
        <w:jc w:val="center"/>
        <w:spacing w:line="360" w:lineRule="auto"/>
        <w:rPr>
          <w:b/>
          <w:sz w:val="32"/>
          <w:szCs w:val="32"/>
          <w:highlight w:val="none"/>
        </w:rPr>
        <w:outlineLvl w:val="0"/>
      </w:pPr>
      <w:r>
        <w:rPr>
          <w:b/>
          <w:sz w:val="32"/>
          <w:szCs w:val="32"/>
          <w:highlight w:val="none"/>
        </w:rPr>
      </w:r>
      <w:r/>
    </w:p>
    <w:sdt>
      <w:sdtPr>
        <w15:appearance w15:val="boundingBox"/>
        <w:id w:val="147453132"/>
        <w:rPr>
          <w:rFonts w:hint="eastAsia" w:ascii="宋体" w:hAnsi="宋体"/>
          <w:b/>
          <w:sz w:val="32"/>
          <w:szCs w:val="32"/>
          <w:highlight w:val="none"/>
        </w:rPr>
      </w:sdtPr>
      <w:sdtContent>
        <w:p>
          <w:pPr>
            <w:jc w:val="center"/>
            <w:spacing w:line="360" w:lineRule="auto"/>
            <w:rPr>
              <w:b/>
              <w:sz w:val="32"/>
              <w:szCs w:val="32"/>
              <w:highlight w:val="none"/>
            </w:rPr>
            <w:outlineLvl w:val="0"/>
          </w:pPr>
          <w:r>
            <w:rPr>
              <w:rFonts w:hint="eastAsia"/>
              <w:b/>
              <w:sz w:val="32"/>
              <w:szCs w:val="32"/>
              <w:highlight w:val="none"/>
            </w:rPr>
            <w:t xml:space="preserve">目    录</w:t>
          </w:r>
          <w:r/>
        </w:p>
        <w:p>
          <w:pPr>
            <w:pStyle w:val="821"/>
            <w:rPr>
              <w:rFonts w:hint="eastAsia"/>
              <w:highlight w:val="none"/>
            </w:rPr>
          </w:pPr>
          <w:r>
            <w:rPr>
              <w:rFonts w:hint="eastAsia"/>
              <w:highlight w:val="none"/>
            </w:rPr>
          </w:r>
          <w:r/>
        </w:p>
        <w:p>
          <w:pPr>
            <w:pStyle w:val="838"/>
            <w:spacing w:line="480" w:lineRule="auto"/>
            <w:tabs>
              <w:tab w:val="clear" w:pos="1050" w:leader="none"/>
              <w:tab w:val="clear" w:pos="8937" w:leader="none"/>
              <w:tab w:val="right" w:pos="9355" w:leader="dot"/>
            </w:tabs>
            <w:rPr>
              <w:rFonts w:hint="eastAsia" w:cs="宋体"/>
              <w:bCs/>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"_Toc20352" </w:instrText>
          </w:r>
          <w:r>
            <w:rPr>
              <w:highlight w:val="none"/>
            </w:rPr>
            <w:fldChar w:fldCharType="separate"/>
          </w:r>
          <w:r>
            <w:rPr>
              <w:rFonts w:hint="eastAsia" w:cs="宋体"/>
              <w:bCs/>
              <w:highlight w:val="none"/>
            </w:rPr>
            <w:t xml:space="preserve">第一章   采购邀请</w:t>
          </w:r>
          <w:r>
            <w:rPr>
              <w:rFonts w:hint="eastAsia" w:cs="宋体"/>
              <w:bCs/>
              <w:highlight w:val="none"/>
            </w:rPr>
            <w:tab/>
          </w:r>
          <w:r>
            <w:rPr>
              <w:rFonts w:hint="eastAsia" w:cs="宋体"/>
              <w:bCs/>
              <w:highlight w:val="none"/>
            </w:rPr>
            <w:fldChar w:fldCharType="begin"/>
          </w:r>
          <w:r>
            <w:rPr>
              <w:rFonts w:hint="eastAsia" w:cs="宋体"/>
              <w:bCs/>
              <w:highlight w:val="none"/>
            </w:rPr>
            <w:instrText xml:space="preserve"> PAGEREF _Toc20352 \h </w:instrText>
          </w:r>
          <w:r>
            <w:rPr>
              <w:rFonts w:hint="eastAsia" w:cs="宋体"/>
              <w:bCs/>
              <w:highlight w:val="none"/>
            </w:rPr>
            <w:fldChar w:fldCharType="separate"/>
          </w:r>
          <w:r>
            <w:rPr>
              <w:rFonts w:hint="eastAsia" w:cs="宋体"/>
              <w:bCs/>
              <w:highlight w:val="none"/>
            </w:rPr>
            <w:t xml:space="preserve">3</w:t>
          </w:r>
          <w:r>
            <w:rPr>
              <w:rFonts w:hint="eastAsia" w:cs="宋体"/>
              <w:bCs/>
              <w:highlight w:val="none"/>
            </w:rPr>
            <w:fldChar w:fldCharType="end"/>
          </w:r>
          <w:r>
            <w:rPr>
              <w:rFonts w:hint="eastAsia" w:cs="宋体"/>
              <w:bCs/>
              <w:highlight w:val="none"/>
            </w:rPr>
            <w:fldChar w:fldCharType="end"/>
          </w:r>
          <w:r/>
        </w:p>
        <w:p>
          <w:pPr>
            <w:pStyle w:val="838"/>
            <w:spacing w:line="480" w:lineRule="auto"/>
            <w:tabs>
              <w:tab w:val="clear" w:pos="1050" w:leader="none"/>
              <w:tab w:val="clear" w:pos="8937" w:leader="none"/>
              <w:tab w:val="right" w:pos="9355" w:leader="dot"/>
            </w:tabs>
            <w:rPr>
              <w:rFonts w:hint="eastAsia" w:cs="宋体"/>
              <w:bCs/>
              <w:highlight w:val="none"/>
            </w:rPr>
          </w:pPr>
          <w:r>
            <w:rPr>
              <w:highlight w:val="none"/>
            </w:rPr>
            <w:fldChar w:fldCharType="begin"/>
          </w:r>
          <w:r>
            <w:rPr>
              <w:highlight w:val="none"/>
            </w:rPr>
            <w:instrText xml:space="preserve"> HYPERLINK \l "_Toc21483" </w:instrText>
          </w:r>
          <w:r>
            <w:rPr>
              <w:highlight w:val="none"/>
            </w:rPr>
            <w:fldChar w:fldCharType="separate"/>
          </w:r>
          <w:r>
            <w:rPr>
              <w:rFonts w:hint="eastAsia" w:cs="宋体"/>
              <w:bCs/>
              <w:highlight w:val="none"/>
            </w:rPr>
            <w:t xml:space="preserve">第二章   供应商须知</w:t>
          </w:r>
          <w:r>
            <w:rPr>
              <w:rFonts w:hint="eastAsia" w:cs="宋体"/>
              <w:bCs/>
              <w:highlight w:val="none"/>
            </w:rPr>
            <w:tab/>
          </w:r>
          <w:r>
            <w:rPr>
              <w:rFonts w:hint="eastAsia" w:cs="宋体"/>
              <w:bCs/>
              <w:highlight w:val="none"/>
            </w:rPr>
            <w:fldChar w:fldCharType="begin"/>
          </w:r>
          <w:r>
            <w:rPr>
              <w:rFonts w:hint="eastAsia" w:cs="宋体"/>
              <w:bCs/>
              <w:highlight w:val="none"/>
            </w:rPr>
            <w:instrText xml:space="preserve"> PAGEREF _Toc21483 \h </w:instrText>
          </w:r>
          <w:r>
            <w:rPr>
              <w:rFonts w:hint="eastAsia" w:cs="宋体"/>
              <w:bCs/>
              <w:highlight w:val="none"/>
            </w:rPr>
            <w:fldChar w:fldCharType="separate"/>
          </w:r>
          <w:r>
            <w:rPr>
              <w:rFonts w:hint="eastAsia" w:cs="宋体"/>
              <w:bCs/>
              <w:highlight w:val="none"/>
            </w:rPr>
            <w:t xml:space="preserve">6</w:t>
          </w:r>
          <w:r>
            <w:rPr>
              <w:rFonts w:hint="eastAsia" w:cs="宋体"/>
              <w:bCs/>
              <w:highlight w:val="none"/>
            </w:rPr>
            <w:fldChar w:fldCharType="end"/>
          </w:r>
          <w:r>
            <w:rPr>
              <w:rFonts w:hint="eastAsia" w:cs="宋体"/>
              <w:bCs/>
              <w:highlight w:val="none"/>
            </w:rPr>
            <w:fldChar w:fldCharType="end"/>
          </w:r>
          <w:r/>
        </w:p>
        <w:p>
          <w:pPr>
            <w:pStyle w:val="838"/>
            <w:spacing w:line="480" w:lineRule="auto"/>
            <w:tabs>
              <w:tab w:val="clear" w:pos="1050" w:leader="none"/>
              <w:tab w:val="clear" w:pos="8937" w:leader="none"/>
              <w:tab w:val="right" w:pos="9355" w:leader="dot"/>
            </w:tabs>
            <w:rPr>
              <w:rFonts w:hint="eastAsia" w:cs="宋体"/>
              <w:bCs/>
              <w:highlight w:val="none"/>
            </w:rPr>
          </w:pPr>
          <w:r>
            <w:rPr>
              <w:highlight w:val="none"/>
            </w:rPr>
            <w:fldChar w:fldCharType="begin"/>
          </w:r>
          <w:r>
            <w:rPr>
              <w:highlight w:val="none"/>
            </w:rPr>
            <w:instrText xml:space="preserve"> HYPERLINK \l "_Toc28346" </w:instrText>
          </w:r>
          <w:r>
            <w:rPr>
              <w:highlight w:val="none"/>
            </w:rPr>
            <w:fldChar w:fldCharType="separate"/>
          </w:r>
          <w:r>
            <w:rPr>
              <w:rFonts w:hint="eastAsia" w:cs="宋体"/>
              <w:bCs/>
              <w:highlight w:val="none"/>
            </w:rPr>
            <w:t xml:space="preserve">第三章   评审程序、评审方法和评审标准</w:t>
          </w:r>
          <w:r>
            <w:rPr>
              <w:rFonts w:hint="eastAsia" w:cs="宋体"/>
              <w:bCs/>
              <w:highlight w:val="none"/>
            </w:rPr>
            <w:tab/>
          </w:r>
          <w:r>
            <w:rPr>
              <w:rFonts w:hint="eastAsia" w:cs="宋体"/>
              <w:bCs/>
              <w:highlight w:val="none"/>
            </w:rPr>
            <w:fldChar w:fldCharType="begin"/>
          </w:r>
          <w:r>
            <w:rPr>
              <w:rFonts w:hint="eastAsia" w:cs="宋体"/>
              <w:bCs/>
              <w:highlight w:val="none"/>
            </w:rPr>
            <w:instrText xml:space="preserve"> PAGEREF _Toc28346 \h </w:instrText>
          </w:r>
          <w:r>
            <w:rPr>
              <w:rFonts w:hint="eastAsia" w:cs="宋体"/>
              <w:bCs/>
              <w:highlight w:val="none"/>
            </w:rPr>
            <w:fldChar w:fldCharType="separate"/>
          </w:r>
          <w:r>
            <w:rPr>
              <w:rFonts w:hint="eastAsia" w:cs="宋体"/>
              <w:bCs/>
              <w:highlight w:val="none"/>
            </w:rPr>
            <w:t xml:space="preserve">17</w:t>
          </w:r>
          <w:r>
            <w:rPr>
              <w:rFonts w:hint="eastAsia" w:cs="宋体"/>
              <w:bCs/>
              <w:highlight w:val="none"/>
            </w:rPr>
            <w:fldChar w:fldCharType="end"/>
          </w:r>
          <w:r>
            <w:rPr>
              <w:rFonts w:hint="eastAsia" w:cs="宋体"/>
              <w:bCs/>
              <w:highlight w:val="none"/>
            </w:rPr>
            <w:fldChar w:fldCharType="end"/>
          </w:r>
          <w:r/>
        </w:p>
        <w:p>
          <w:pPr>
            <w:pStyle w:val="838"/>
            <w:spacing w:line="480" w:lineRule="auto"/>
            <w:tabs>
              <w:tab w:val="clear" w:pos="1050" w:leader="none"/>
              <w:tab w:val="clear" w:pos="8937" w:leader="none"/>
              <w:tab w:val="right" w:pos="9355" w:leader="dot"/>
            </w:tabs>
            <w:rPr>
              <w:rFonts w:hint="eastAsia" w:cs="宋体"/>
              <w:bCs/>
              <w:highlight w:val="none"/>
            </w:rPr>
          </w:pPr>
          <w:r>
            <w:rPr>
              <w:highlight w:val="none"/>
            </w:rPr>
            <w:fldChar w:fldCharType="begin"/>
          </w:r>
          <w:r>
            <w:rPr>
              <w:highlight w:val="none"/>
            </w:rPr>
            <w:instrText xml:space="preserve"> HYPERLINK \l "_Toc1417" </w:instrText>
          </w:r>
          <w:r>
            <w:rPr>
              <w:highlight w:val="none"/>
            </w:rPr>
            <w:fldChar w:fldCharType="separate"/>
          </w:r>
          <w:r>
            <w:rPr>
              <w:rFonts w:hint="eastAsia" w:cs="宋体"/>
              <w:bCs/>
              <w:highlight w:val="none"/>
            </w:rPr>
            <w:t xml:space="preserve">第四章   采购需求</w:t>
          </w:r>
          <w:r>
            <w:rPr>
              <w:rFonts w:hint="eastAsia" w:cs="宋体"/>
              <w:bCs/>
              <w:highlight w:val="none"/>
            </w:rPr>
            <w:tab/>
          </w:r>
          <w:r>
            <w:rPr>
              <w:rFonts w:hint="eastAsia" w:cs="宋体"/>
              <w:bCs/>
              <w:highlight w:val="none"/>
            </w:rPr>
            <w:t xml:space="preserve">2</w:t>
          </w:r>
          <w:r>
            <w:rPr>
              <w:rFonts w:hint="eastAsia" w:cs="宋体"/>
              <w:bCs/>
              <w:highlight w:val="none"/>
            </w:rPr>
            <w:fldChar w:fldCharType="end"/>
          </w:r>
          <w:r>
            <w:rPr>
              <w:rFonts w:hint="eastAsia" w:cs="宋体"/>
              <w:bCs/>
              <w:highlight w:val="none"/>
            </w:rPr>
            <w:t xml:space="preserve">5</w:t>
          </w:r>
          <w:r/>
        </w:p>
        <w:p>
          <w:pPr>
            <w:pStyle w:val="838"/>
            <w:spacing w:line="480" w:lineRule="auto"/>
            <w:tabs>
              <w:tab w:val="clear" w:pos="1050" w:leader="none"/>
              <w:tab w:val="clear" w:pos="8937" w:leader="none"/>
              <w:tab w:val="right" w:pos="9355" w:leader="dot"/>
            </w:tabs>
            <w:rPr>
              <w:rFonts w:hint="eastAsia" w:cs="宋体"/>
              <w:bCs/>
              <w:highlight w:val="none"/>
            </w:rPr>
          </w:pPr>
          <w:r>
            <w:rPr>
              <w:highlight w:val="none"/>
            </w:rPr>
            <w:fldChar w:fldCharType="begin"/>
          </w:r>
          <w:r>
            <w:rPr>
              <w:highlight w:val="none"/>
            </w:rPr>
            <w:instrText xml:space="preserve"> HYPERLINK \l "_Toc11543" </w:instrText>
          </w:r>
          <w:r>
            <w:rPr>
              <w:highlight w:val="none"/>
            </w:rPr>
            <w:fldChar w:fldCharType="separate"/>
          </w:r>
          <w:r>
            <w:rPr>
              <w:rFonts w:hint="eastAsia" w:cs="宋体"/>
              <w:bCs/>
              <w:highlight w:val="none"/>
            </w:rPr>
            <w:t xml:space="preserve">第五章   合同草案条款</w:t>
          </w:r>
          <w:r>
            <w:rPr>
              <w:rFonts w:hint="eastAsia" w:cs="宋体"/>
              <w:bCs/>
              <w:highlight w:val="none"/>
            </w:rPr>
            <w:tab/>
          </w:r>
          <w:r>
            <w:rPr>
              <w:rFonts w:hint="eastAsia" w:cs="宋体"/>
              <w:bCs/>
              <w:highlight w:val="none"/>
            </w:rPr>
            <w:fldChar w:fldCharType="begin"/>
          </w:r>
          <w:r>
            <w:rPr>
              <w:rFonts w:hint="eastAsia" w:cs="宋体"/>
              <w:bCs/>
              <w:highlight w:val="none"/>
            </w:rPr>
            <w:instrText xml:space="preserve"> PAGEREF _Toc11543 \h </w:instrText>
          </w:r>
          <w:r>
            <w:rPr>
              <w:rFonts w:hint="eastAsia" w:cs="宋体"/>
              <w:bCs/>
              <w:highlight w:val="none"/>
            </w:rPr>
            <w:fldChar w:fldCharType="separate"/>
          </w:r>
          <w:r>
            <w:rPr>
              <w:rFonts w:hint="eastAsia" w:cs="宋体"/>
              <w:bCs/>
              <w:highlight w:val="none"/>
            </w:rPr>
            <w:t xml:space="preserve">4</w:t>
          </w:r>
          <w:r>
            <w:rPr>
              <w:rFonts w:hint="eastAsia" w:cs="宋体"/>
              <w:bCs/>
              <w:highlight w:val="none"/>
              <w:lang w:val="en-US" w:eastAsia="zh-CN"/>
            </w:rPr>
            <w:t xml:space="preserve">0</w:t>
          </w:r>
          <w:r>
            <w:rPr>
              <w:rFonts w:hint="eastAsia" w:cs="宋体"/>
              <w:bCs/>
              <w:highlight w:val="none"/>
            </w:rPr>
            <w:fldChar w:fldCharType="end"/>
          </w:r>
          <w:r>
            <w:rPr>
              <w:rFonts w:hint="eastAsia" w:cs="宋体"/>
              <w:bCs/>
              <w:highlight w:val="none"/>
            </w:rPr>
            <w:fldChar w:fldCharType="end"/>
          </w:r>
          <w:r/>
        </w:p>
        <w:p>
          <w:pPr>
            <w:pStyle w:val="838"/>
            <w:spacing w:line="480" w:lineRule="auto"/>
            <w:tabs>
              <w:tab w:val="clear" w:pos="1050" w:leader="none"/>
              <w:tab w:val="clear" w:pos="8937" w:leader="none"/>
              <w:tab w:val="right" w:pos="9355" w:leader="dot"/>
            </w:tabs>
            <w:rPr>
              <w:rFonts w:hint="eastAsia" w:eastAsia="宋体"/>
              <w:highlight w:val="none"/>
              <w:lang w:eastAsia="zh-CN"/>
            </w:rPr>
          </w:pPr>
          <w:r>
            <w:rPr>
              <w:highlight w:val="none"/>
            </w:rPr>
            <w:fldChar w:fldCharType="begin"/>
          </w:r>
          <w:r>
            <w:rPr>
              <w:highlight w:val="none"/>
            </w:rPr>
            <w:instrText xml:space="preserve"> HYPERLINK \l "_Toc19821" </w:instrText>
          </w:r>
          <w:r>
            <w:rPr>
              <w:highlight w:val="none"/>
            </w:rPr>
            <w:fldChar w:fldCharType="separate"/>
          </w:r>
          <w:r>
            <w:rPr>
              <w:rFonts w:hint="eastAsia" w:cs="宋体"/>
              <w:bCs/>
              <w:highlight w:val="none"/>
            </w:rPr>
            <w:t xml:space="preserve">第六章   响应文件格式</w:t>
          </w:r>
          <w:r>
            <w:rPr>
              <w:rFonts w:hint="eastAsia" w:cs="宋体"/>
              <w:bCs/>
              <w:highlight w:val="none"/>
            </w:rPr>
            <w:tab/>
          </w:r>
          <w:r>
            <w:rPr>
              <w:rFonts w:hint="eastAsia" w:cs="宋体"/>
              <w:bCs/>
              <w:highlight w:val="none"/>
            </w:rPr>
            <w:fldChar w:fldCharType="end"/>
          </w:r>
          <w:r>
            <w:rPr>
              <w:rFonts w:hint="eastAsia" w:cs="宋体"/>
              <w:bCs/>
              <w:highlight w:val="none"/>
            </w:rPr>
            <w:t xml:space="preserve">4</w:t>
          </w:r>
          <w:r>
            <w:rPr>
              <w:rFonts w:hint="eastAsia" w:cs="宋体"/>
              <w:bCs/>
              <w:highlight w:val="none"/>
              <w:lang w:val="en-US" w:eastAsia="zh-CN"/>
            </w:rPr>
            <w:t xml:space="preserve">2</w:t>
          </w:r>
          <w:r/>
        </w:p>
        <w:p>
          <w:pPr>
            <w:pStyle w:val="838"/>
            <w:spacing w:line="480" w:lineRule="auto"/>
            <w:tabs>
              <w:tab w:val="clear" w:pos="1050" w:leader="none"/>
              <w:tab w:val="clear" w:pos="8937" w:leader="none"/>
              <w:tab w:val="right" w:pos="9355" w:leader="dot"/>
            </w:tabs>
            <w:rPr>
              <w:rFonts w:hint="eastAsia"/>
              <w:highlight w:val="none"/>
            </w:rPr>
          </w:pPr>
          <w:r>
            <w:rPr>
              <w:highlight w:val="none"/>
            </w:rPr>
            <w:fldChar w:fldCharType="end"/>
          </w:r>
          <w:r/>
        </w:p>
      </w:sdtContent>
    </w:sdt>
    <w:p>
      <w:pPr>
        <w:pStyle w:val="838"/>
        <w:spacing w:line="480" w:lineRule="auto"/>
        <w:tabs>
          <w:tab w:val="clear" w:pos="1050" w:leader="none"/>
          <w:tab w:val="clear" w:pos="8937" w:leader="none"/>
          <w:tab w:val="right" w:pos="9355" w:leader="dot"/>
        </w:tabs>
        <w:rPr>
          <w:rFonts w:hint="eastAsia" w:cs="宋体"/>
          <w:bCs/>
          <w:highlight w:val="none"/>
        </w:rPr>
      </w:pPr>
      <w:r>
        <w:rPr>
          <w:rFonts w:hint="eastAsia" w:cs="宋体"/>
          <w:bCs/>
          <w:highlight w:val="none"/>
        </w:rPr>
      </w:r>
      <w:r/>
    </w:p>
    <w:p>
      <w:pPr>
        <w:pStyle w:val="838"/>
        <w:spacing w:line="360" w:lineRule="auto"/>
        <w:rPr>
          <w:rFonts w:hint="eastAsia"/>
          <w:b w:val="0"/>
          <w:sz w:val="36"/>
          <w:szCs w:val="36"/>
          <w:highlight w:val="none"/>
        </w:rPr>
      </w:pPr>
      <w:r>
        <w:rPr>
          <w:rFonts w:hint="eastAsia"/>
          <w:b w:val="0"/>
          <w:sz w:val="36"/>
          <w:szCs w:val="36"/>
          <w:highlight w:val="none"/>
        </w:rPr>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b/>
          <w:sz w:val="36"/>
          <w:szCs w:val="36"/>
          <w:highlight w:val="none"/>
        </w:rPr>
      </w:r>
      <w:r/>
    </w:p>
    <w:p>
      <w:pPr>
        <w:jc w:val="center"/>
        <w:spacing w:line="360" w:lineRule="auto"/>
        <w:rPr>
          <w:b/>
          <w:sz w:val="36"/>
          <w:szCs w:val="36"/>
          <w:highlight w:val="none"/>
        </w:rPr>
      </w:pPr>
      <w:r>
        <w:rPr>
          <w:b/>
          <w:sz w:val="36"/>
          <w:szCs w:val="36"/>
          <w:highlight w:val="none"/>
        </w:rPr>
      </w:r>
      <w:r/>
    </w:p>
    <w:p>
      <w:pPr>
        <w:spacing w:line="353"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360" w:lineRule="auto"/>
        <w:rPr>
          <w:rFonts w:hint="eastAsia" w:ascii="宋体" w:hAnsi="宋体" w:cs="宋体"/>
          <w:b/>
          <w:sz w:val="32"/>
          <w:szCs w:val="32"/>
          <w:highlight w:val="none"/>
        </w:rPr>
        <w:outlineLvl w:val="0"/>
      </w:pPr>
      <w:r/>
      <w:bookmarkStart w:id="0" w:name="_Toc27872"/>
      <w:r/>
      <w:r/>
    </w:p>
    <w:p>
      <w:pP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jc w:val="center"/>
        <w:keepLines w:val="0"/>
        <w:keepNext w:val="0"/>
        <w:pageBreakBefore w:val="0"/>
        <w:spacing w:line="336" w:lineRule="auto"/>
        <w:rPr>
          <w:rFonts w:hint="eastAsia" w:ascii="宋体" w:hAnsi="宋体" w:cs="宋体"/>
          <w:b/>
          <w:sz w:val="32"/>
          <w:szCs w:val="32"/>
          <w:highlight w:val="none"/>
        </w:rPr>
        <w:outlineLvl w:val="0"/>
      </w:pPr>
      <w:r/>
      <w:bookmarkStart w:id="1" w:name="_Toc20352"/>
      <w:r>
        <w:rPr>
          <w:rFonts w:hint="eastAsia" w:ascii="宋体" w:hAnsi="宋体" w:cs="宋体"/>
          <w:b/>
          <w:sz w:val="32"/>
          <w:szCs w:val="32"/>
          <w:highlight w:val="none"/>
        </w:rPr>
        <w:t xml:space="preserve">第一章   采购邀请</w:t>
      </w:r>
      <w:bookmarkEnd w:id="0"/>
      <w:r/>
      <w:bookmarkEnd w:id="1"/>
      <w:r/>
      <w:bookmarkStart w:id="2" w:name="_Toc28359002"/>
      <w:r/>
      <w:bookmarkStart w:id="3" w:name="_Hlk24379207"/>
      <w:r/>
      <w:bookmarkStart w:id="4" w:name="_Toc35393621"/>
      <w:r/>
      <w:bookmarkStart w:id="5" w:name="_Toc28359079"/>
      <w:r/>
      <w:bookmarkStart w:id="6" w:name="_Toc35393790"/>
      <w:r/>
      <w:r/>
    </w:p>
    <w:p>
      <w:pPr>
        <w:pStyle w:val="848"/>
        <w:keepLines w:val="0"/>
        <w:keepNext w:val="0"/>
        <w:pageBreakBefore w:val="0"/>
        <w:spacing w:beforeAutospacing="0" w:afterAutospacing="0" w:line="336" w:lineRule="auto"/>
        <w:shd w:val="clear" w:color="auto" w:fill="ffffff"/>
        <w:rPr>
          <w:rStyle w:val="856"/>
          <w:rFonts w:hint="eastAsia"/>
          <w:sz w:val="21"/>
          <w:szCs w:val="21"/>
          <w:highlight w:val="none"/>
          <w:shd w:val="clear" w:color="auto" w:fill="ffffff"/>
        </w:rPr>
      </w:pPr>
      <w:r>
        <w:rPr>
          <w:rStyle w:val="856"/>
          <w:rFonts w:hint="eastAsia"/>
          <w:sz w:val="21"/>
          <w:szCs w:val="21"/>
          <w:highlight w:val="none"/>
          <w:shd w:val="clear" w:color="auto" w:fill="ffffff"/>
        </w:rPr>
        <w:t xml:space="preserve">一、项目基本情况</w:t>
      </w:r>
      <w:r/>
    </w:p>
    <w:p>
      <w:pPr>
        <w:ind w:firstLine="420"/>
        <w:jc w:val="left"/>
        <w:keepLines w:val="0"/>
        <w:keepNext w:val="0"/>
        <w:pageBreakBefore w:val="0"/>
        <w:spacing w:before="100" w:after="100" w:line="336" w:lineRule="auto"/>
        <w:shd w:val="clear" w:color="auto" w:fill="ffffff"/>
        <w:widowControl/>
        <w:rPr>
          <w:rFonts w:hint="default" w:ascii="宋体" w:hAnsi="宋体" w:eastAsia="宋体" w:cs="宋体"/>
          <w:szCs w:val="21"/>
          <w:highlight w:val="none"/>
          <w:shd w:val="clear" w:color="auto" w:fill="ffffff"/>
          <w:lang w:val="en-US" w:eastAsia="zh-CN"/>
        </w:rPr>
      </w:pPr>
      <w:r>
        <w:rPr>
          <w:rFonts w:hint="eastAsia" w:ascii="宋体" w:hAnsi="宋体" w:cs="宋体"/>
          <w:szCs w:val="21"/>
          <w:highlight w:val="none"/>
          <w:shd w:val="clear" w:color="auto" w:fill="ffffff"/>
        </w:rPr>
        <w:t xml:space="preserve">1.项目编号：</w:t>
      </w:r>
      <w:r>
        <w:rPr>
          <w:rFonts w:hint="eastAsia" w:ascii="宋体" w:hAnsi="宋体" w:cs="宋体"/>
          <w:szCs w:val="21"/>
          <w:highlight w:val="none"/>
          <w:u w:val="single"/>
          <w:shd w:val="clear" w:color="auto" w:fill="ffffff"/>
        </w:rPr>
        <w:t xml:space="preserve">JSZC-320481-LYZT-C2025-00</w:t>
      </w:r>
      <w:r>
        <w:rPr>
          <w:rFonts w:hint="eastAsia" w:ascii="宋体" w:hAnsi="宋体" w:cs="宋体"/>
          <w:szCs w:val="21"/>
          <w:highlight w:val="none"/>
          <w:u w:val="single"/>
          <w:shd w:val="clear" w:color="auto" w:fill="ffffff"/>
          <w:lang w:val="en-US" w:eastAsia="zh-CN"/>
        </w:rPr>
        <w:t xml:space="preserve">23</w:t>
      </w:r>
      <w:r/>
    </w:p>
    <w:p>
      <w:pPr>
        <w:ind w:firstLine="420"/>
        <w:jc w:val="left"/>
        <w:keepLines w:val="0"/>
        <w:keepNext w:val="0"/>
        <w:pageBreakBefore w:val="0"/>
        <w:spacing w:before="100" w:after="100" w:line="336" w:lineRule="auto"/>
        <w:shd w:val="clear" w:color="auto" w:fill="ffffff"/>
        <w:widowControl/>
        <w:rPr>
          <w:rFonts w:hint="eastAsia" w:ascii="宋体" w:hAnsi="宋体" w:cs="宋体"/>
          <w:szCs w:val="21"/>
          <w:highlight w:val="none"/>
          <w:u w:val="single"/>
          <w:shd w:val="clear" w:color="auto" w:fill="ffffff"/>
        </w:rPr>
      </w:pPr>
      <w:r>
        <w:rPr>
          <w:rFonts w:hint="eastAsia" w:ascii="宋体" w:hAnsi="宋体" w:cs="宋体"/>
          <w:szCs w:val="21"/>
          <w:highlight w:val="none"/>
          <w:shd w:val="clear" w:color="auto" w:fill="ffffff"/>
        </w:rPr>
        <w:t xml:space="preserve">2.项目名称：</w:t>
      </w:r>
      <w:r>
        <w:rPr>
          <w:rFonts w:hint="eastAsia" w:ascii="宋体" w:hAnsi="宋体" w:cs="宋体"/>
          <w:szCs w:val="21"/>
          <w:highlight w:val="none"/>
          <w:u w:val="single"/>
          <w:shd w:val="clear" w:color="auto" w:fill="ffffff"/>
        </w:rPr>
        <w:t xml:space="preserve">溧阳市人民医院审方系统升级及扩容项目</w:t>
      </w:r>
      <w:r/>
    </w:p>
    <w:p>
      <w:pPr>
        <w:ind w:firstLine="420"/>
        <w:jc w:val="left"/>
        <w:keepLines w:val="0"/>
        <w:keepNext w:val="0"/>
        <w:pageBreakBefore w:val="0"/>
        <w:spacing w:before="100" w:after="100" w:line="336" w:lineRule="auto"/>
        <w:shd w:val="clear" w:color="auto" w:fill="ffffff"/>
        <w:widowControl/>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3.采购方式：竞争性磋商</w:t>
      </w:r>
      <w:r/>
    </w:p>
    <w:p>
      <w:pPr>
        <w:ind w:firstLine="420"/>
        <w:jc w:val="left"/>
        <w:keepLines w:val="0"/>
        <w:keepNext w:val="0"/>
        <w:pageBreakBefore w:val="0"/>
        <w:spacing w:before="100" w:after="100" w:line="336" w:lineRule="auto"/>
        <w:shd w:val="clear" w:color="auto" w:fill="ffffff"/>
        <w:widowControl/>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4.预算金额：</w:t>
      </w:r>
      <w:r>
        <w:rPr>
          <w:rFonts w:hint="eastAsia" w:ascii="宋体" w:hAnsi="宋体" w:cs="宋体"/>
          <w:szCs w:val="21"/>
          <w:highlight w:val="none"/>
          <w:u w:val="single"/>
          <w:shd w:val="clear" w:color="auto" w:fill="ffffff"/>
        </w:rPr>
        <w:t xml:space="preserve">人民币89万元</w:t>
      </w:r>
      <w:r>
        <w:rPr>
          <w:rFonts w:hint="eastAsia" w:ascii="宋体" w:hAnsi="宋体" w:cs="宋体"/>
          <w:szCs w:val="21"/>
          <w:highlight w:val="none"/>
          <w:u w:val="none"/>
          <w:shd w:val="clear" w:color="auto" w:fill="ffffff"/>
        </w:rPr>
        <w:t xml:space="preserve">；</w:t>
      </w:r>
      <w:r>
        <w:rPr>
          <w:rFonts w:hint="eastAsia" w:ascii="宋体" w:hAnsi="宋体" w:cs="宋体"/>
          <w:szCs w:val="21"/>
          <w:highlight w:val="none"/>
          <w:shd w:val="clear" w:color="auto" w:fill="ffffff"/>
        </w:rPr>
        <w:t xml:space="preserve">项目最高限价：</w:t>
      </w:r>
      <w:r>
        <w:rPr>
          <w:rFonts w:hint="eastAsia" w:ascii="宋体" w:hAnsi="宋体" w:cs="宋体"/>
          <w:szCs w:val="21"/>
          <w:highlight w:val="none"/>
          <w:u w:val="single"/>
          <w:shd w:val="clear" w:color="auto" w:fill="ffffff"/>
        </w:rPr>
        <w:t xml:space="preserve">人民币69万元；</w:t>
      </w:r>
      <w:r/>
    </w:p>
    <w:p>
      <w:pPr>
        <w:ind w:firstLine="420"/>
        <w:jc w:val="left"/>
        <w:keepLines w:val="0"/>
        <w:keepNext w:val="0"/>
        <w:pageBreakBefore w:val="0"/>
        <w:spacing w:before="100" w:after="100" w:line="336" w:lineRule="auto"/>
        <w:shd w:val="clear" w:color="auto" w:fill="ffffff"/>
        <w:widowControl/>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5.采购需求：原前置审方系统升级为区域版本，并接入溧阳市卫健委下属17家乡镇卫生院和妇幼保健院(包含接口费及审方监控大屏软件、显示大屏、电脑)。</w:t>
      </w:r>
      <w:r/>
    </w:p>
    <w:p>
      <w:pPr>
        <w:ind w:firstLine="420"/>
        <w:jc w:val="left"/>
        <w:keepLines w:val="0"/>
        <w:keepNext w:val="0"/>
        <w:pageBreakBefore w:val="0"/>
        <w:spacing w:before="100" w:after="100" w:line="336" w:lineRule="auto"/>
        <w:shd w:val="clear" w:color="auto" w:fill="ffffff"/>
        <w:widowControl/>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6.合同履行期限：合同签订后6个月内完成。</w:t>
      </w:r>
      <w:r/>
    </w:p>
    <w:p>
      <w:pPr>
        <w:ind w:firstLine="420"/>
        <w:jc w:val="left"/>
        <w:keepLines w:val="0"/>
        <w:keepNext w:val="0"/>
        <w:pageBreakBefore w:val="0"/>
        <w:spacing w:before="100" w:after="100" w:line="336" w:lineRule="auto"/>
        <w:shd w:val="clear" w:color="auto" w:fill="ffffff"/>
        <w:widowControl/>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7.本项目是否接受联合体：□是  ■否。</w:t>
      </w:r>
      <w:r/>
    </w:p>
    <w:p>
      <w:pPr>
        <w:pStyle w:val="848"/>
        <w:keepLines w:val="0"/>
        <w:keepNext w:val="0"/>
        <w:pageBreakBefore w:val="0"/>
        <w:spacing w:beforeAutospacing="0" w:afterAutospacing="0" w:line="336" w:lineRule="auto"/>
        <w:shd w:val="clear" w:color="auto" w:fill="ffffff"/>
        <w:rPr>
          <w:rStyle w:val="856"/>
          <w:rFonts w:hint="eastAsia"/>
          <w:sz w:val="21"/>
          <w:szCs w:val="21"/>
          <w:highlight w:val="none"/>
          <w:shd w:val="clear" w:color="auto" w:fill="ffffff"/>
        </w:rPr>
      </w:pPr>
      <w:r>
        <w:rPr>
          <w:rStyle w:val="856"/>
          <w:rFonts w:hint="eastAsia"/>
          <w:sz w:val="21"/>
          <w:szCs w:val="21"/>
          <w:highlight w:val="none"/>
          <w:shd w:val="clear" w:color="auto" w:fill="ffffff"/>
        </w:rPr>
        <w:t xml:space="preserve">二、申请人的资格要求：</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1.满足《中华人民共和国政府采购法》第二十二条规定以及下列情形：</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1.1未被“信用中国”网站（WWW.creditchina.gov.cn）或“中国政府采购网”网站（www.ccgp.gov.cn）列入失信被执行人、重大税收违法失信主体、政府采购严重失信行为记录名单；</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2.落实政府采购政策需满足的资格要求：</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2.1 中小企业政策</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□本项目不专门面向中小企业预留采购份额。</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■本项目专门面向  ■中小 ■小微企业  采购。即：提供的货物全部由符合政策要求的中小/小微企业制造、服务全部由符合政策要求的中小/小微企业承接。</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highlight w:val="none"/>
          <w:u w:val="single"/>
          <w:shd w:val="clear" w:color="auto" w:fill="ffffff"/>
        </w:rPr>
        <w:t xml:space="preserve">   /   </w:t>
      </w:r>
      <w:r>
        <w:rPr>
          <w:rFonts w:hint="eastAsia" w:ascii="宋体" w:hAnsi="宋体" w:cs="宋体"/>
          <w:szCs w:val="21"/>
          <w:highlight w:val="none"/>
          <w:shd w:val="clear" w:color="auto" w:fill="ffffff"/>
        </w:rPr>
        <w:t xml:space="preserve">。</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2.2 其它落实政府采购政策的资格要求（如有）：</w:t>
      </w:r>
      <w:r>
        <w:rPr>
          <w:rFonts w:hint="eastAsia" w:ascii="宋体" w:hAnsi="宋体" w:cs="宋体"/>
          <w:szCs w:val="21"/>
          <w:highlight w:val="none"/>
          <w:u w:val="single"/>
          <w:shd w:val="clear" w:color="auto" w:fill="ffffff"/>
        </w:rPr>
        <w:t xml:space="preserve">   /  </w:t>
      </w:r>
      <w:r>
        <w:rPr>
          <w:rFonts w:hint="eastAsia" w:ascii="宋体" w:hAnsi="宋体" w:cs="宋体"/>
          <w:szCs w:val="21"/>
          <w:highlight w:val="none"/>
          <w:shd w:val="clear" w:color="auto" w:fill="ffffff"/>
        </w:rPr>
        <w:t xml:space="preserve">。</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3.本项目的特定资格要求：</w:t>
      </w:r>
      <w:r/>
    </w:p>
    <w:p>
      <w:pPr>
        <w:ind w:firstLine="420"/>
        <w:keepLines w:val="0"/>
        <w:keepNext w:val="0"/>
        <w:pageBreakBefore w:val="0"/>
        <w:spacing w:line="336"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3.1本项目是否接受分支机构参与响应：□是   </w:t>
      </w: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否；</w:t>
      </w:r>
      <w:r/>
    </w:p>
    <w:p>
      <w:pPr>
        <w:ind w:firstLine="420"/>
        <w:keepLines w:val="0"/>
        <w:keepNext w:val="0"/>
        <w:pageBreakBefore w:val="0"/>
        <w:spacing w:line="336"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3.2 本项目是否属于政府购买服务：</w:t>
      </w:r>
      <w:r/>
    </w:p>
    <w:p>
      <w:pPr>
        <w:ind w:left="991" w:firstLine="2"/>
        <w:keepLines w:val="0"/>
        <w:keepNext w:val="0"/>
        <w:pageBreakBefore w:val="0"/>
        <w:spacing w:line="336"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□否</w:t>
      </w:r>
      <w:r/>
    </w:p>
    <w:p>
      <w:pPr>
        <w:ind w:left="991" w:firstLine="2"/>
        <w:keepLines w:val="0"/>
        <w:keepNext w:val="0"/>
        <w:pageBreakBefore w:val="0"/>
        <w:spacing w:line="336" w:lineRule="auto"/>
        <w:tabs>
          <w:tab w:val="left" w:pos="900" w:leader="none"/>
          <w:tab w:val="left" w:pos="1134" w:leader="none"/>
          <w:tab w:val="left" w:pos="1589" w:leader="none"/>
          <w:tab w:val="left" w:pos="5521" w:leader="none"/>
        </w:tabs>
        <w:rPr>
          <w:rFonts w:hint="eastAsia" w:ascii="宋体" w:hAnsi="宋体" w:cs="宋体"/>
          <w:szCs w:val="21"/>
          <w:highlight w:val="none"/>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是，公益一类事业单位、使用事业编制且由财政拨款保障的群团组织，不得作为承接主体；</w:t>
      </w:r>
      <w:r/>
    </w:p>
    <w:p>
      <w:pPr>
        <w:pStyle w:val="1016"/>
        <w:ind w:firstLine="420"/>
        <w:keepLines w:val="0"/>
        <w:keepNext w:val="0"/>
        <w:pageBreakBefore w:val="0"/>
        <w:spacing w:line="336" w:lineRule="auto"/>
        <w:rPr>
          <w:rFonts w:hint="eastAsia" w:cs="宋体"/>
          <w:sz w:val="21"/>
          <w:szCs w:val="21"/>
          <w:highlight w:val="none"/>
          <w:u w:val="single"/>
          <w:shd w:val="clear" w:color="auto" w:fill="ffffff"/>
        </w:rPr>
      </w:pPr>
      <w:r>
        <w:rPr>
          <w:rFonts w:hint="eastAsia" w:cs="宋体"/>
          <w:sz w:val="21"/>
          <w:szCs w:val="21"/>
          <w:highlight w:val="none"/>
          <w:shd w:val="clear" w:color="auto" w:fill="ffffff"/>
        </w:rPr>
        <w:t xml:space="preserve">3.3其他特定资格要求：</w:t>
      </w:r>
      <w:r>
        <w:rPr>
          <w:rFonts w:hint="eastAsia" w:cs="宋体"/>
          <w:sz w:val="21"/>
          <w:szCs w:val="21"/>
          <w:highlight w:val="none"/>
          <w:u w:val="single"/>
          <w:shd w:val="clear" w:color="auto" w:fill="ffffff"/>
        </w:rPr>
        <w:t xml:space="preserve">无。</w:t>
      </w:r>
      <w:r/>
    </w:p>
    <w:p>
      <w:pPr>
        <w:pStyle w:val="848"/>
        <w:keepLines w:val="0"/>
        <w:keepNext w:val="0"/>
        <w:pageBreakBefore w:val="0"/>
        <w:spacing w:beforeAutospacing="0" w:afterAutospacing="0" w:line="336" w:lineRule="auto"/>
        <w:shd w:val="clear" w:color="auto" w:fill="ffffff"/>
        <w:rPr>
          <w:rStyle w:val="856"/>
          <w:rFonts w:hint="eastAsia"/>
          <w:sz w:val="21"/>
          <w:szCs w:val="21"/>
          <w:highlight w:val="none"/>
          <w:shd w:val="clear" w:color="auto" w:fill="ffffff"/>
        </w:rPr>
      </w:pPr>
      <w:r>
        <w:rPr>
          <w:rStyle w:val="856"/>
          <w:rFonts w:hint="eastAsia"/>
          <w:sz w:val="21"/>
          <w:szCs w:val="21"/>
          <w:highlight w:val="none"/>
          <w:shd w:val="clear" w:color="auto" w:fill="ffffff"/>
        </w:rPr>
        <w:t xml:space="preserve">三、获取采购文件</w:t>
      </w:r>
      <w:r/>
    </w:p>
    <w:p>
      <w:pPr>
        <w:pStyle w:val="848"/>
        <w:ind w:firstLine="420"/>
        <w:keepLines w:val="0"/>
        <w:keepNext w:val="0"/>
        <w:pageBreakBefore w:val="0"/>
        <w:spacing w:beforeAutospacing="0" w:afterAutospacing="0" w:line="336" w:lineRule="auto"/>
        <w:shd w:val="clear" w:color="auto" w:fill="ffffff"/>
        <w:rPr>
          <w:rFonts w:hint="eastAsia"/>
          <w:sz w:val="21"/>
          <w:szCs w:val="21"/>
          <w:highlight w:val="none"/>
        </w:rPr>
      </w:pPr>
      <w:r>
        <w:rPr>
          <w:rFonts w:hint="eastAsia"/>
          <w:sz w:val="21"/>
          <w:szCs w:val="21"/>
          <w:highlight w:val="none"/>
          <w:shd w:val="clear" w:color="auto" w:fill="ffffff"/>
        </w:rPr>
        <w:t xml:space="preserve">1.时间</w:t>
      </w:r>
      <w:bookmarkStart w:id="7" w:name="XM_BMJSSR_3"/>
      <w:r/>
      <w:bookmarkEnd w:id="7"/>
      <w:r>
        <w:rPr>
          <w:rFonts w:hint="eastAsia"/>
          <w:sz w:val="21"/>
          <w:szCs w:val="21"/>
          <w:highlight w:val="none"/>
          <w:shd w:val="clear" w:color="auto" w:fill="ffffff"/>
        </w:rPr>
        <w:t xml:space="preserve">：自磋商文件公告发布之日起5个工作日。</w:t>
      </w:r>
      <w:r/>
    </w:p>
    <w:p>
      <w:pPr>
        <w:pStyle w:val="848"/>
        <w:ind w:firstLine="420"/>
        <w:keepLines w:val="0"/>
        <w:keepNext w:val="0"/>
        <w:pageBreakBefore w:val="0"/>
        <w:spacing w:beforeAutospacing="0" w:afterAutospacing="0" w:line="336" w:lineRule="auto"/>
        <w:shd w:val="clear" w:color="auto" w:fill="ffffff"/>
        <w:rPr>
          <w:rFonts w:hint="eastAsia"/>
          <w:sz w:val="21"/>
          <w:szCs w:val="21"/>
          <w:highlight w:val="none"/>
        </w:rPr>
      </w:pPr>
      <w:r>
        <w:rPr>
          <w:rFonts w:hint="eastAsia"/>
          <w:sz w:val="21"/>
          <w:szCs w:val="21"/>
          <w:highlight w:val="none"/>
        </w:rPr>
        <w:t xml:space="preserve">2.地点：“苏采云”政府采购一体化平台</w:t>
      </w:r>
      <w:r/>
    </w:p>
    <w:p>
      <w:pPr>
        <w:ind w:firstLine="420"/>
        <w:jc w:val="left"/>
        <w:keepLines w:val="0"/>
        <w:keepNext w:val="0"/>
        <w:pageBreakBefore w:val="0"/>
        <w:spacing w:line="336" w:lineRule="auto"/>
        <w:widowControl/>
        <w:rPr>
          <w:rFonts w:hint="eastAsia" w:ascii="宋体" w:hAnsi="宋体" w:cs="宋体"/>
          <w:szCs w:val="21"/>
          <w:highlight w:val="none"/>
        </w:rPr>
      </w:pPr>
      <w:r>
        <w:rPr>
          <w:rFonts w:hint="eastAsia" w:ascii="宋体" w:hAnsi="宋体" w:cs="宋体"/>
          <w:szCs w:val="21"/>
          <w:highlight w:val="none"/>
        </w:rPr>
        <w:t xml:space="preserve">3.方式：</w:t>
      </w:r>
      <w:r>
        <w:rPr>
          <w:rFonts w:hint="eastAsia" w:ascii="宋体" w:hAnsi="宋体" w:cs="宋体"/>
          <w:szCs w:val="21"/>
          <w:highlight w:val="none"/>
          <w:lang w:bidi="ar"/>
        </w:rPr>
        <w:t xml:space="preserve">供应商持CA数字认证证书登录“苏采云”政府采购一体化平台（http//jszfcg.jsczt.cn/jszc/login）获取电子版磋商文件。</w:t>
      </w:r>
      <w:r/>
    </w:p>
    <w:p>
      <w:pPr>
        <w:ind w:firstLine="420"/>
        <w:jc w:val="left"/>
        <w:keepLines w:val="0"/>
        <w:keepNext w:val="0"/>
        <w:pageBreakBefore w:val="0"/>
        <w:spacing w:line="336" w:lineRule="auto"/>
        <w:widowControl/>
        <w:rPr>
          <w:rFonts w:hint="eastAsia" w:ascii="宋体" w:hAnsi="宋体" w:cs="宋体"/>
          <w:szCs w:val="21"/>
          <w:highlight w:val="none"/>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p>
    <w:p>
      <w:pPr>
        <w:jc w:val="left"/>
        <w:keepLines w:val="0"/>
        <w:keepNext w:val="0"/>
        <w:pageBreakBefore w:val="0"/>
        <w:spacing w:line="336" w:lineRule="auto"/>
        <w:rPr>
          <w:rFonts w:hint="eastAsia" w:ascii="宋体" w:hAnsi="宋体" w:cs="宋体"/>
          <w:b/>
          <w:bCs/>
          <w:spacing w:val="2"/>
          <w:szCs w:val="21"/>
          <w:highlight w:val="none"/>
        </w:rPr>
      </w:pPr>
      <w:r>
        <w:rPr>
          <w:rStyle w:val="856"/>
          <w:rFonts w:hint="eastAsia" w:ascii="宋体" w:hAnsi="宋体" w:cs="宋体"/>
          <w:szCs w:val="21"/>
          <w:highlight w:val="none"/>
          <w:shd w:val="clear" w:color="auto" w:fill="ffffff"/>
        </w:rPr>
        <w:t xml:space="preserve">四、</w:t>
      </w:r>
      <w:r>
        <w:rPr>
          <w:rFonts w:hint="eastAsia" w:ascii="宋体" w:hAnsi="宋体" w:cs="宋体"/>
          <w:b/>
          <w:bCs/>
          <w:spacing w:val="2"/>
          <w:szCs w:val="21"/>
          <w:highlight w:val="none"/>
        </w:rPr>
        <w:t xml:space="preserve">响应文件提交</w:t>
      </w:r>
      <w:r/>
    </w:p>
    <w:p>
      <w:pPr>
        <w:ind w:left="280"/>
        <w:jc w:val="left"/>
        <w:keepLines w:val="0"/>
        <w:keepNext w:val="0"/>
        <w:pageBreakBefore w:val="0"/>
        <w:spacing w:line="336" w:lineRule="auto"/>
        <w:rPr>
          <w:rFonts w:hint="eastAsia" w:ascii="宋体" w:hAnsi="宋体" w:cs="宋体"/>
          <w:spacing w:val="2"/>
          <w:szCs w:val="21"/>
          <w:highlight w:val="none"/>
        </w:rPr>
      </w:pPr>
      <w:r>
        <w:rPr>
          <w:rFonts w:hint="eastAsia" w:ascii="宋体" w:hAnsi="宋体" w:cs="宋体"/>
          <w:spacing w:val="2"/>
          <w:szCs w:val="21"/>
          <w:highlight w:val="none"/>
        </w:rPr>
        <w:t xml:space="preserve">截止时间：</w:t>
      </w:r>
      <w:r>
        <w:rPr>
          <w:rFonts w:hint="eastAsia" w:ascii="宋体" w:hAnsi="宋体" w:cs="宋体"/>
          <w:spacing w:val="2"/>
          <w:szCs w:val="21"/>
          <w:highlight w:val="none"/>
          <w:u w:val="single"/>
        </w:rPr>
        <w:t xml:space="preserve">202</w:t>
      </w:r>
      <w:r>
        <w:rPr>
          <w:rFonts w:hint="eastAsia" w:ascii="宋体" w:hAnsi="宋体" w:cs="宋体"/>
          <w:spacing w:val="2"/>
          <w:szCs w:val="21"/>
          <w:highlight w:val="none"/>
          <w:u w:val="single"/>
          <w:lang w:val="en-US" w:eastAsia="zh-CN"/>
        </w:rPr>
        <w:t xml:space="preserve">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1</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14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rPr>
        <w:t xml:space="preserve"> 00 </w:t>
      </w:r>
      <w:r>
        <w:rPr>
          <w:rFonts w:hint="eastAsia" w:ascii="宋体" w:hAnsi="宋体" w:cs="宋体"/>
          <w:spacing w:val="2"/>
          <w:szCs w:val="21"/>
          <w:highlight w:val="none"/>
        </w:rPr>
        <w:t xml:space="preserve">分（北京时间）</w:t>
      </w:r>
      <w:r/>
    </w:p>
    <w:p>
      <w:pPr>
        <w:ind w:left="280"/>
        <w:jc w:val="left"/>
        <w:keepLines w:val="0"/>
        <w:keepNext w:val="0"/>
        <w:pageBreakBefore w:val="0"/>
        <w:spacing w:line="336" w:lineRule="auto"/>
        <w:rPr>
          <w:rFonts w:hint="eastAsia" w:ascii="宋体" w:hAnsi="宋体" w:cs="宋体"/>
          <w:spacing w:val="2"/>
          <w:szCs w:val="21"/>
          <w:highlight w:val="none"/>
        </w:rPr>
      </w:pPr>
      <w:r>
        <w:rPr>
          <w:rFonts w:hint="eastAsia" w:ascii="宋体" w:hAnsi="宋体" w:cs="宋体"/>
          <w:szCs w:val="21"/>
          <w:highlight w:val="none"/>
        </w:rPr>
        <w:t xml:space="preserve">地点：</w:t>
      </w:r>
      <w:r>
        <w:rPr>
          <w:rFonts w:hint="eastAsia" w:ascii="宋体" w:hAnsi="宋体" w:cs="宋体"/>
          <w:szCs w:val="21"/>
          <w:highlight w:val="none"/>
          <w:u w:val="single"/>
        </w:rPr>
        <w:t xml:space="preserve">本项目采用不见面交易方式，无需到现场提交，供应商登录“苏采云”政府采购一体化平台供应商端，通过系统在线提交电子响应文件。</w:t>
      </w:r>
      <w:r/>
    </w:p>
    <w:p>
      <w:pPr>
        <w:jc w:val="left"/>
        <w:keepLines w:val="0"/>
        <w:keepNext w:val="0"/>
        <w:pageBreakBefore w:val="0"/>
        <w:spacing w:line="336" w:lineRule="auto"/>
        <w:rPr>
          <w:rFonts w:hint="eastAsia" w:ascii="宋体" w:hAnsi="宋体" w:cs="宋体"/>
          <w:b/>
          <w:bCs/>
          <w:spacing w:val="2"/>
          <w:szCs w:val="21"/>
          <w:highlight w:val="none"/>
        </w:rPr>
      </w:pPr>
      <w:r>
        <w:rPr>
          <w:rStyle w:val="856"/>
          <w:rFonts w:hint="eastAsia" w:ascii="宋体" w:hAnsi="宋体" w:cs="宋体"/>
          <w:szCs w:val="21"/>
          <w:highlight w:val="none"/>
          <w:shd w:val="clear" w:color="auto" w:fill="ffffff"/>
        </w:rPr>
        <w:t xml:space="preserve">五、</w:t>
      </w:r>
      <w:r>
        <w:rPr>
          <w:rFonts w:hint="eastAsia" w:ascii="宋体" w:hAnsi="宋体" w:cs="宋体"/>
          <w:b/>
          <w:bCs/>
          <w:spacing w:val="2"/>
          <w:szCs w:val="21"/>
          <w:highlight w:val="none"/>
        </w:rPr>
        <w:t xml:space="preserve">开启</w:t>
      </w:r>
      <w:r/>
    </w:p>
    <w:p>
      <w:pPr>
        <w:ind w:left="280"/>
        <w:jc w:val="left"/>
        <w:keepLines w:val="0"/>
        <w:keepNext w:val="0"/>
        <w:pageBreakBefore w:val="0"/>
        <w:spacing w:line="336" w:lineRule="auto"/>
        <w:rPr>
          <w:rFonts w:hint="eastAsia" w:ascii="宋体" w:hAnsi="宋体" w:cs="宋体"/>
          <w:spacing w:val="2"/>
          <w:szCs w:val="21"/>
          <w:highlight w:val="none"/>
        </w:rPr>
      </w:pPr>
      <w:r>
        <w:rPr>
          <w:rFonts w:hint="eastAsia" w:ascii="宋体" w:hAnsi="宋体" w:cs="宋体"/>
          <w:spacing w:val="2"/>
          <w:szCs w:val="21"/>
          <w:highlight w:val="none"/>
        </w:rPr>
        <w:t xml:space="preserve">时间：</w:t>
      </w:r>
      <w:r>
        <w:rPr>
          <w:rFonts w:hint="eastAsia" w:ascii="宋体" w:hAnsi="宋体" w:cs="宋体"/>
          <w:spacing w:val="2"/>
          <w:szCs w:val="21"/>
          <w:highlight w:val="none"/>
          <w:u w:val="single"/>
        </w:rPr>
        <w:t xml:space="preserve">202</w:t>
      </w:r>
      <w:r>
        <w:rPr>
          <w:rFonts w:hint="eastAsia" w:ascii="宋体" w:hAnsi="宋体" w:cs="宋体"/>
          <w:spacing w:val="2"/>
          <w:szCs w:val="21"/>
          <w:highlight w:val="none"/>
          <w:u w:val="single"/>
          <w:lang w:val="en-US" w:eastAsia="zh-CN"/>
        </w:rPr>
        <w:t xml:space="preserve">6</w:t>
      </w:r>
      <w:r>
        <w:rPr>
          <w:rFonts w:hint="eastAsia" w:ascii="宋体" w:hAnsi="宋体" w:cs="宋体"/>
          <w:spacing w:val="2"/>
          <w:szCs w:val="21"/>
          <w:highlight w:val="none"/>
        </w:rPr>
        <w:t xml:space="preserve">年</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1</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月</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u w:val="single"/>
          <w:lang w:val="en-US" w:eastAsia="zh-CN"/>
        </w:rPr>
        <w:t xml:space="preserve">4</w:t>
      </w:r>
      <w:r>
        <w:rPr>
          <w:rFonts w:hint="eastAsia" w:ascii="宋体" w:hAnsi="宋体" w:cs="宋体"/>
          <w:spacing w:val="2"/>
          <w:szCs w:val="21"/>
          <w:highlight w:val="none"/>
          <w:u w:val="single"/>
        </w:rPr>
        <w:t xml:space="preserve"> </w:t>
      </w:r>
      <w:r>
        <w:rPr>
          <w:rFonts w:hint="eastAsia" w:ascii="宋体" w:hAnsi="宋体" w:cs="宋体"/>
          <w:spacing w:val="2"/>
          <w:szCs w:val="21"/>
          <w:highlight w:val="none"/>
        </w:rPr>
        <w:t xml:space="preserve">日</w:t>
      </w:r>
      <w:r>
        <w:rPr>
          <w:rFonts w:hint="eastAsia" w:ascii="宋体" w:hAnsi="宋体" w:cs="宋体"/>
          <w:spacing w:val="2"/>
          <w:szCs w:val="21"/>
          <w:highlight w:val="none"/>
          <w:u w:val="single"/>
        </w:rPr>
        <w:t xml:space="preserve"> 14 </w:t>
      </w:r>
      <w:r>
        <w:rPr>
          <w:rFonts w:hint="eastAsia" w:ascii="宋体" w:hAnsi="宋体" w:cs="宋体"/>
          <w:spacing w:val="2"/>
          <w:szCs w:val="21"/>
          <w:highlight w:val="none"/>
        </w:rPr>
        <w:t xml:space="preserve">点</w:t>
      </w:r>
      <w:r>
        <w:rPr>
          <w:rFonts w:hint="eastAsia" w:ascii="宋体" w:hAnsi="宋体" w:cs="宋体"/>
          <w:spacing w:val="2"/>
          <w:szCs w:val="21"/>
          <w:highlight w:val="none"/>
          <w:u w:val="single"/>
        </w:rPr>
        <w:t xml:space="preserve"> 00 </w:t>
      </w:r>
      <w:r>
        <w:rPr>
          <w:rFonts w:hint="eastAsia" w:ascii="宋体" w:hAnsi="宋体" w:cs="宋体"/>
          <w:spacing w:val="2"/>
          <w:szCs w:val="21"/>
          <w:highlight w:val="none"/>
        </w:rPr>
        <w:t xml:space="preserve">分（北京时间）</w:t>
      </w:r>
      <w:r/>
    </w:p>
    <w:p>
      <w:pPr>
        <w:ind w:left="280"/>
        <w:jc w:val="left"/>
        <w:keepLines w:val="0"/>
        <w:keepNext w:val="0"/>
        <w:pageBreakBefore w:val="0"/>
        <w:spacing w:line="336" w:lineRule="auto"/>
        <w:rPr>
          <w:szCs w:val="21"/>
          <w:u w:val="single"/>
        </w:rPr>
      </w:pPr>
      <w:r>
        <w:rPr>
          <w:rFonts w:hint="eastAsia" w:ascii="宋体" w:hAnsi="宋体" w:cs="宋体"/>
          <w:spacing w:val="2"/>
          <w:szCs w:val="21"/>
        </w:rPr>
        <w:t xml:space="preserve">地点：</w:t>
      </w:r>
      <w:r>
        <w:rPr>
          <w:rFonts w:hint="eastAsia" w:ascii="宋体" w:hAnsi="宋体" w:cs="宋体"/>
          <w:spacing w:val="2"/>
          <w:szCs w:val="21"/>
          <w:u w:val="single"/>
        </w:rPr>
        <w:t xml:space="preserve">本项</w:t>
      </w:r>
      <w:r>
        <w:rPr>
          <w:rFonts w:hint="eastAsia"/>
          <w:szCs w:val="21"/>
          <w:u w:val="single"/>
        </w:rPr>
        <w:t xml:space="preserve">目采用不见面交易方式，无需到现场提交，供应商登录“苏采云”政府采购一体化平台供应商端，通过系统在线解密电子响应文件。</w:t>
      </w:r>
      <w:r/>
    </w:p>
    <w:p>
      <w:pPr>
        <w:pStyle w:val="848"/>
        <w:keepLines w:val="0"/>
        <w:keepNext w:val="0"/>
        <w:pageBreakBefore w:val="0"/>
        <w:spacing w:beforeAutospacing="0" w:afterAutospacing="0" w:line="336" w:lineRule="auto"/>
        <w:shd w:val="clear" w:color="auto" w:fill="ffffff"/>
        <w:rPr>
          <w:rStyle w:val="856"/>
          <w:rFonts w:hint="eastAsia"/>
          <w:sz w:val="21"/>
          <w:szCs w:val="21"/>
          <w:shd w:val="clear" w:color="auto" w:fill="ffffff"/>
        </w:rPr>
      </w:pPr>
      <w:r>
        <w:rPr>
          <w:rStyle w:val="856"/>
          <w:rFonts w:hint="eastAsia"/>
          <w:sz w:val="21"/>
          <w:szCs w:val="21"/>
          <w:shd w:val="clear" w:color="auto" w:fill="ffffff"/>
        </w:rPr>
        <w:t xml:space="preserve">六、公告期限</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自本公告发布之日起5个工作日。</w:t>
      </w:r>
      <w:r/>
    </w:p>
    <w:p>
      <w:pPr>
        <w:pStyle w:val="848"/>
        <w:keepLines w:val="0"/>
        <w:keepNext w:val="0"/>
        <w:pageBreakBefore w:val="0"/>
        <w:spacing w:beforeAutospacing="0" w:afterAutospacing="0" w:line="336" w:lineRule="auto"/>
        <w:shd w:val="clear" w:color="auto" w:fill="ffffff"/>
        <w:rPr>
          <w:rStyle w:val="856"/>
          <w:rFonts w:hint="eastAsia"/>
          <w:sz w:val="21"/>
          <w:szCs w:val="21"/>
          <w:shd w:val="clear" w:color="auto" w:fill="ffffff"/>
        </w:rPr>
      </w:pPr>
      <w:r>
        <w:rPr>
          <w:rStyle w:val="856"/>
          <w:rFonts w:hint="eastAsia"/>
          <w:sz w:val="21"/>
          <w:szCs w:val="21"/>
          <w:shd w:val="clear" w:color="auto" w:fill="ffffff"/>
        </w:rPr>
        <w:t xml:space="preserve">七、其他补充事宜</w:t>
      </w:r>
      <w:r/>
    </w:p>
    <w:p>
      <w:pPr>
        <w:ind w:firstLine="420"/>
        <w:keepLines w:val="0"/>
        <w:keepNext w:val="0"/>
        <w:pageBreakBefore w:val="0"/>
        <w:spacing w:line="336" w:lineRule="auto"/>
        <w:rPr>
          <w:rFonts w:hint="eastAsia" w:ascii="宋体" w:hAnsi="宋体" w:cs="宋体"/>
          <w:szCs w:val="21"/>
          <w:shd w:val="clear" w:color="auto" w:fill="ffffff"/>
        </w:rPr>
      </w:pPr>
      <w:r>
        <w:rPr>
          <w:rFonts w:hint="eastAsia" w:ascii="宋体" w:hAnsi="宋体" w:cs="宋体"/>
          <w:szCs w:val="21"/>
        </w:rPr>
        <w:t xml:space="preserve">1.本项目需要落实的政府采购政策：</w:t>
      </w:r>
      <w:r>
        <w:rPr>
          <w:rFonts w:hint="eastAsia" w:ascii="宋体" w:hAnsi="宋体" w:cs="宋体"/>
          <w:szCs w:val="21"/>
          <w:u w:val="single"/>
          <w:shd w:val="clear" w:color="auto" w:fill="ffffff"/>
        </w:rPr>
        <w:t xml:space="preserve">《江苏省财政厅关于进一步加大政府采购支持中小企业力度的通知》苏财购〔2022〕45号</w:t>
      </w:r>
      <w:r>
        <w:rPr>
          <w:rFonts w:hint="eastAsia" w:ascii="宋体" w:hAnsi="宋体" w:cs="宋体"/>
          <w:szCs w:val="21"/>
        </w:rPr>
        <w:t xml:space="preserve">。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.本项目采用不见面交易方式，请供应商认真学习常州市政府采购网发布的相关操作手册，办理</w:t>
      </w:r>
      <w:r/>
    </w:p>
    <w:p>
      <w:pPr>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供应商登录常州市政府采购网“下载中心”下载并查阅 “江苏省政府采购数字证书CA及电子签章办理指南”，按照程序要求办理。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供应商登录常州市政府采购网“下载中心”-“苏采云”系统（供应商）操作手册下载相关操作手册、操作视频等，查阅后进行自助注册。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供应商登录常州市政府采购网“下载中心”-政府采购管理交易系统（苏采云）CA及签章控件驱动下载相关控件及客户端。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2.4获取电子磋商文件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供应商持CA数字认证证书登录“苏采云”政府采购一体化平台获取电子磋商文件。未在规定期限</w:t>
      </w:r>
      <w:r/>
    </w:p>
    <w:p>
      <w:pPr>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内通过“苏采云”政府采购一体化平台获取磋商文件的响应无效。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供应商应于响应截止时间前在“苏采云”政府采购一体化平台提交电子响应文件，上传电子响应文件过程中请保持与互联网的连接畅通。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供应商使用CA认证证书登录“苏采云”政府采购一体化平台进行电子化不见面开标。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 </w:t>
      </w:r>
      <w:r/>
    </w:p>
    <w:p>
      <w:pPr>
        <w:ind w:firstLine="480"/>
        <w:jc w:val="left"/>
        <w:keepLines w:val="0"/>
        <w:keepNext w:val="0"/>
        <w:pageBreakBefore w:val="0"/>
        <w:spacing w:line="336" w:lineRule="auto"/>
        <w:widowControl/>
        <w:rPr>
          <w:rFonts w:hint="eastAsia"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 </w:t>
      </w:r>
      <w:r/>
    </w:p>
    <w:p>
      <w:pPr>
        <w:pStyle w:val="848"/>
        <w:keepLines w:val="0"/>
        <w:keepNext w:val="0"/>
        <w:pageBreakBefore w:val="0"/>
        <w:spacing w:beforeAutospacing="0" w:afterAutospacing="0" w:line="336" w:lineRule="auto"/>
        <w:shd w:val="clear" w:color="auto" w:fill="ffffff"/>
        <w:rPr>
          <w:rFonts w:hint="eastAsia"/>
          <w:sz w:val="21"/>
          <w:szCs w:val="21"/>
          <w:lang w:val="zh-TW"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48"/>
        <w:keepLines w:val="0"/>
        <w:keepNext w:val="0"/>
        <w:pageBreakBefore w:val="0"/>
        <w:spacing w:beforeAutospacing="0" w:afterAutospacing="0" w:line="336" w:lineRule="auto"/>
        <w:shd w:val="clear" w:color="auto" w:fill="ffffff"/>
        <w:rPr>
          <w:rFonts w:hint="eastAsia"/>
          <w:sz w:val="21"/>
          <w:szCs w:val="21"/>
        </w:rPr>
      </w:pPr>
      <w:r>
        <w:rPr>
          <w:rStyle w:val="856"/>
          <w:rFonts w:hint="eastAsia"/>
          <w:sz w:val="21"/>
          <w:szCs w:val="21"/>
          <w:shd w:val="clear" w:color="auto" w:fill="ffffff"/>
        </w:rPr>
        <w:t xml:space="preserve">八、凡对本次采购提出询问，请按以下方式联系。</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1.采购人信息</w:t>
      </w:r>
      <w:r/>
    </w:p>
    <w:p>
      <w:pPr>
        <w:pStyle w:val="848"/>
        <w:ind w:firstLine="420"/>
        <w:keepLines w:val="0"/>
        <w:keepNext w:val="0"/>
        <w:pageBreakBefore w:val="0"/>
        <w:spacing w:beforeAutospacing="0" w:afterAutospacing="0" w:line="336" w:lineRule="auto"/>
        <w:shd w:val="clear" w:color="auto" w:fill="ffffff"/>
        <w:rPr>
          <w:rFonts w:hint="eastAsia"/>
          <w:sz w:val="21"/>
          <w:szCs w:val="21"/>
          <w:u w:val="single"/>
          <w:shd w:val="clear" w:color="auto" w:fill="ffffff"/>
        </w:rPr>
      </w:pPr>
      <w:r>
        <w:rPr>
          <w:rFonts w:hint="eastAsia"/>
          <w:sz w:val="21"/>
          <w:szCs w:val="21"/>
          <w:shd w:val="clear" w:color="auto" w:fill="ffffff"/>
        </w:rPr>
        <w:t xml:space="preserve">名 称：</w:t>
      </w:r>
      <w:r>
        <w:rPr>
          <w:rFonts w:hint="eastAsia"/>
          <w:sz w:val="21"/>
          <w:szCs w:val="21"/>
          <w:u w:val="single"/>
          <w:shd w:val="clear" w:color="auto" w:fill="ffffff"/>
        </w:rPr>
        <w:t xml:space="preserve">溧阳市人民医院</w:t>
      </w:r>
      <w:r/>
    </w:p>
    <w:p>
      <w:pPr>
        <w:pStyle w:val="848"/>
        <w:ind w:firstLine="420"/>
        <w:keepLines w:val="0"/>
        <w:keepNext w:val="0"/>
        <w:pageBreakBefore w:val="0"/>
        <w:spacing w:beforeAutospacing="0" w:afterAutospacing="0" w:line="336" w:lineRule="auto"/>
        <w:shd w:val="clear" w:color="auto" w:fill="ffffff"/>
        <w:rPr>
          <w:rFonts w:hint="eastAsia"/>
          <w:sz w:val="21"/>
          <w:szCs w:val="21"/>
          <w:u w:val="single"/>
          <w:shd w:val="clear" w:color="auto" w:fill="ffffff"/>
        </w:rPr>
      </w:pPr>
      <w:r>
        <w:rPr>
          <w:rFonts w:hint="eastAsia"/>
          <w:sz w:val="21"/>
          <w:szCs w:val="21"/>
          <w:shd w:val="clear" w:color="auto" w:fill="ffffff"/>
        </w:rPr>
        <w:t xml:space="preserve">地  址：</w:t>
      </w:r>
      <w:r>
        <w:rPr>
          <w:rFonts w:hint="eastAsia"/>
          <w:sz w:val="21"/>
          <w:szCs w:val="21"/>
          <w:u w:val="single"/>
          <w:shd w:val="clear" w:color="auto" w:fill="ffffff"/>
        </w:rPr>
        <w:t xml:space="preserve">江苏省溧阳市建设西路70号</w:t>
      </w:r>
      <w:r/>
    </w:p>
    <w:p>
      <w:pPr>
        <w:pStyle w:val="848"/>
        <w:ind w:firstLine="420"/>
        <w:keepLines w:val="0"/>
        <w:keepNext w:val="0"/>
        <w:pageBreakBefore w:val="0"/>
        <w:spacing w:beforeAutospacing="0" w:afterAutospacing="0" w:line="336" w:lineRule="auto"/>
        <w:shd w:val="clear" w:color="auto" w:fill="ffffff"/>
        <w:rPr>
          <w:rFonts w:hint="eastAsia"/>
          <w:sz w:val="21"/>
          <w:szCs w:val="21"/>
          <w:u w:val="single"/>
          <w:shd w:val="clear" w:color="auto" w:fill="ffffff"/>
        </w:rPr>
      </w:pPr>
      <w:r>
        <w:rPr>
          <w:rFonts w:hint="eastAsia"/>
          <w:sz w:val="21"/>
          <w:szCs w:val="21"/>
          <w:shd w:val="clear" w:color="auto" w:fill="ffffff"/>
        </w:rPr>
        <w:t xml:space="preserve">联系方式：</w:t>
      </w:r>
      <w:r>
        <w:rPr>
          <w:rFonts w:hint="eastAsia"/>
          <w:sz w:val="21"/>
          <w:szCs w:val="21"/>
          <w:u w:val="single"/>
          <w:shd w:val="clear" w:color="auto" w:fill="ffffff"/>
        </w:rPr>
        <w:t xml:space="preserve">0519-68091850</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2.采购代理机构信息</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名 称：</w:t>
      </w:r>
      <w:r>
        <w:rPr>
          <w:rFonts w:hint="eastAsia"/>
          <w:sz w:val="21"/>
          <w:szCs w:val="21"/>
          <w:u w:val="single"/>
          <w:shd w:val="clear" w:color="auto" w:fill="ffffff"/>
        </w:rPr>
        <w:t xml:space="preserve">溧阳市正投招投标有限公司</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地　址：</w:t>
      </w:r>
      <w:r>
        <w:rPr>
          <w:rFonts w:hint="eastAsia"/>
          <w:sz w:val="21"/>
          <w:szCs w:val="21"/>
          <w:u w:val="single"/>
          <w:shd w:val="clear" w:color="auto" w:fill="ffffff"/>
        </w:rPr>
        <w:t xml:space="preserve">溧阳市平陵西路258号1幢二楼西侧</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联系方式：</w:t>
      </w:r>
      <w:r>
        <w:rPr>
          <w:rFonts w:hint="eastAsia"/>
          <w:spacing w:val="2"/>
          <w:sz w:val="21"/>
          <w:szCs w:val="21"/>
          <w:u w:val="single"/>
        </w:rPr>
        <w:t xml:space="preserve">0519-87891880</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3.项目联系方式</w:t>
      </w:r>
      <w:r/>
    </w:p>
    <w:p>
      <w:pPr>
        <w:pStyle w:val="848"/>
        <w:ind w:firstLine="420"/>
        <w:keepLines w:val="0"/>
        <w:keepNext w:val="0"/>
        <w:pageBreakBefore w:val="0"/>
        <w:spacing w:beforeAutospacing="0" w:afterAutospacing="0" w:line="336" w:lineRule="auto"/>
        <w:shd w:val="clear" w:color="auto" w:fill="ffffff"/>
        <w:rPr>
          <w:rFonts w:hint="eastAsia"/>
          <w:sz w:val="21"/>
          <w:szCs w:val="21"/>
          <w:shd w:val="clear" w:color="auto" w:fill="ffffff"/>
        </w:rPr>
      </w:pPr>
      <w:r>
        <w:rPr>
          <w:rFonts w:hint="eastAsia"/>
          <w:sz w:val="21"/>
          <w:szCs w:val="21"/>
          <w:shd w:val="clear" w:color="auto" w:fill="ffffff"/>
        </w:rPr>
        <w:t xml:space="preserve">项目联系人：</w:t>
      </w:r>
      <w:r>
        <w:rPr>
          <w:rFonts w:hint="eastAsia"/>
          <w:sz w:val="21"/>
          <w:szCs w:val="21"/>
          <w:u w:val="single"/>
          <w:shd w:val="clear" w:color="auto" w:fill="ffffff"/>
        </w:rPr>
        <w:t xml:space="preserve">蒋工</w:t>
      </w:r>
      <w:r/>
    </w:p>
    <w:p>
      <w:pPr>
        <w:pStyle w:val="848"/>
        <w:ind w:firstLine="420"/>
        <w:keepLines w:val="0"/>
        <w:keepNext w:val="0"/>
        <w:pageBreakBefore w:val="0"/>
        <w:spacing w:beforeAutospacing="0" w:afterAutospacing="0" w:line="336" w:lineRule="auto"/>
        <w:shd w:val="clear" w:color="auto" w:fill="ffffff"/>
        <w:rPr>
          <w:rFonts w:hint="eastAsia"/>
          <w:b/>
          <w:sz w:val="32"/>
          <w:szCs w:val="32"/>
        </w:rPr>
      </w:pPr>
      <w:r>
        <w:rPr>
          <w:rFonts w:hint="eastAsia"/>
          <w:sz w:val="21"/>
          <w:szCs w:val="21"/>
          <w:shd w:val="clear" w:color="auto" w:fill="ffffff"/>
        </w:rPr>
        <w:t xml:space="preserve">电　话：</w:t>
      </w:r>
      <w:r>
        <w:rPr>
          <w:rFonts w:hint="eastAsia"/>
          <w:spacing w:val="2"/>
          <w:sz w:val="21"/>
          <w:szCs w:val="21"/>
          <w:u w:val="single"/>
        </w:rPr>
        <w:t xml:space="preserve">0519-87891880</w:t>
      </w:r>
      <w:bookmarkEnd w:id="2"/>
      <w:r/>
      <w:bookmarkEnd w:id="3"/>
      <w:r/>
      <w:bookmarkEnd w:id="4"/>
      <w:r/>
      <w:bookmarkEnd w:id="5"/>
      <w:r/>
      <w:bookmarkEnd w:id="6"/>
      <w:r/>
      <w:bookmarkStart w:id="8" w:name="_Toc353825548"/>
      <w:r/>
      <w:bookmarkStart w:id="9" w:name="_Toc305158854"/>
      <w:r/>
      <w:bookmarkStart w:id="10" w:name="_Toc305158928"/>
      <w:r/>
      <w:bookmarkStart w:id="11" w:name="_Toc21483"/>
      <w:r/>
      <w:bookmarkStart w:id="12" w:name="_Toc265228423"/>
      <w:r/>
      <w:bookmarkStart w:id="13" w:name="_Toc27965"/>
      <w:r/>
      <w:bookmarkStart w:id="14" w:name="_Toc127151777"/>
      <w:r/>
      <w:bookmarkStart w:id="15" w:name="_Toc127161488"/>
      <w:r/>
      <w:bookmarkStart w:id="16" w:name="_Toc512937850"/>
      <w:r/>
      <w:bookmarkStart w:id="17" w:name="_Toc353873938"/>
      <w:r/>
      <w:bookmarkStart w:id="18" w:name="_Toc226965856"/>
      <w:r/>
      <w:bookmarkStart w:id="19" w:name="_Toc150774783"/>
      <w:r/>
      <w:bookmarkStart w:id="20" w:name="_Toc195842950"/>
      <w:r/>
      <w:bookmarkStart w:id="21" w:name="_Toc264969275"/>
      <w:r/>
      <w:r/>
    </w:p>
    <w:p>
      <w:pPr>
        <w:jc w:val="center"/>
        <w:spacing w:line="360" w:lineRule="exact"/>
        <w:rPr>
          <w:b/>
          <w:sz w:val="32"/>
          <w:szCs w:val="32"/>
        </w:rPr>
        <w:outlineLvl w:val="0"/>
      </w:pPr>
      <w:r>
        <w:rPr>
          <w:b/>
          <w:sz w:val="32"/>
          <w:szCs w:val="32"/>
        </w:rPr>
      </w:r>
      <w:r/>
    </w:p>
    <w:p>
      <w:pPr>
        <w:jc w:val="center"/>
        <w:spacing w:line="360" w:lineRule="exact"/>
        <w:rPr>
          <w:b/>
          <w:sz w:val="32"/>
          <w:szCs w:val="32"/>
        </w:rPr>
        <w:outlineLvl w:val="0"/>
      </w:pPr>
      <w:r>
        <w:rPr>
          <w:b/>
          <w:sz w:val="32"/>
          <w:szCs w:val="32"/>
        </w:rPr>
      </w:r>
      <w:r/>
    </w:p>
    <w:p>
      <w:pPr>
        <w:jc w:val="center"/>
        <w:spacing w:line="360" w:lineRule="exact"/>
        <w:rPr>
          <w:b/>
          <w:sz w:val="32"/>
          <w:szCs w:val="32"/>
        </w:rPr>
        <w:outlineLvl w:val="0"/>
      </w:pPr>
      <w:r>
        <w:rPr>
          <w:b/>
          <w:sz w:val="32"/>
          <w:szCs w:val="32"/>
        </w:rPr>
      </w:r>
      <w:r/>
    </w:p>
    <w:p>
      <w:pPr>
        <w:jc w:val="center"/>
        <w:spacing w:line="360" w:lineRule="exact"/>
        <w:rPr>
          <w:b/>
          <w:sz w:val="32"/>
          <w:szCs w:val="32"/>
        </w:rPr>
        <w:outlineLvl w:val="0"/>
      </w:pPr>
      <w:r>
        <w:rPr>
          <w:b/>
          <w:sz w:val="32"/>
          <w:szCs w:val="32"/>
        </w:rPr>
      </w:r>
      <w:r/>
    </w:p>
    <w:p>
      <w:pPr>
        <w:jc w:val="center"/>
        <w:spacing w:line="360" w:lineRule="exact"/>
        <w:rPr>
          <w:b/>
          <w:sz w:val="32"/>
          <w:szCs w:val="32"/>
        </w:rPr>
        <w:outlineLvl w:val="0"/>
      </w:pPr>
      <w:r>
        <w:rPr>
          <w:b/>
          <w:sz w:val="32"/>
          <w:szCs w:val="32"/>
        </w:rPr>
        <w:t xml:space="preserve">第二章   供应商须知</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r/>
    </w:p>
    <w:p>
      <w:pPr>
        <w:pStyle w:val="804"/>
        <w:spacing w:before="0" w:line="360" w:lineRule="exact"/>
        <w:tabs>
          <w:tab w:val="center" w:pos="4592" w:leader="none"/>
          <w:tab w:val="left" w:pos="7860" w:leader="none"/>
        </w:tabs>
        <w:rPr>
          <w:rFonts w:ascii="Times New Roman" w:hAnsi="Times New Roman" w:eastAsia="宋体"/>
          <w:sz w:val="28"/>
        </w:rPr>
      </w:pPr>
      <w:r/>
      <w:bookmarkStart w:id="22" w:name="_Toc142311021"/>
      <w:r/>
      <w:bookmarkStart w:id="23" w:name="_Toc150774724"/>
      <w:r/>
      <w:bookmarkStart w:id="24" w:name="_Toc150509270"/>
      <w:r/>
      <w:bookmarkStart w:id="25" w:name="_Toc151193833"/>
      <w:r/>
      <w:bookmarkStart w:id="26" w:name="_Toc164351613"/>
      <w:r/>
      <w:bookmarkStart w:id="27" w:name="_Toc151193689"/>
      <w:r/>
      <w:bookmarkStart w:id="28" w:name="_Toc226965792"/>
      <w:r/>
      <w:bookmarkStart w:id="29" w:name="_Toc164608788"/>
      <w:r/>
      <w:bookmarkStart w:id="30" w:name="_Toc195842884"/>
      <w:r/>
      <w:bookmarkStart w:id="31" w:name="_Toc226337215"/>
      <w:r/>
      <w:bookmarkStart w:id="32" w:name="_Toc151190146"/>
      <w:r/>
      <w:bookmarkStart w:id="33" w:name="_Toc149720812"/>
      <w:r/>
      <w:bookmarkStart w:id="34" w:name="_Toc151193907"/>
      <w:r/>
      <w:bookmarkStart w:id="35" w:name="_Toc127151720"/>
      <w:r/>
      <w:bookmarkStart w:id="36" w:name="_Toc150480757"/>
      <w:r/>
      <w:bookmarkStart w:id="37" w:name="_Toc226965709"/>
      <w:r/>
      <w:bookmarkStart w:id="38" w:name="_Toc151193761"/>
      <w:r/>
      <w:bookmarkStart w:id="39" w:name="_Toc164229214"/>
      <w:r/>
      <w:bookmarkStart w:id="40" w:name="_Toc226309763"/>
      <w:r/>
      <w:bookmarkStart w:id="41" w:name="_Toc520356144"/>
      <w:r/>
      <w:bookmarkStart w:id="42" w:name="_Toc127151519"/>
      <w:r/>
      <w:bookmarkStart w:id="43" w:name="_Toc127161433"/>
      <w:r/>
      <w:bookmarkStart w:id="44" w:name="_Toc151193617"/>
      <w:r/>
      <w:bookmarkStart w:id="45" w:name="_Toc150774619"/>
      <w:r/>
      <w:bookmarkStart w:id="46" w:name="_Toc164229360"/>
      <w:r/>
      <w:bookmarkStart w:id="47" w:name="_Toc164608633"/>
      <w:r>
        <w:rPr>
          <w:rFonts w:ascii="Times New Roman" w:hAnsi="Times New Roman" w:eastAsia="宋体"/>
          <w:sz w:val="28"/>
        </w:rPr>
        <w:t xml:space="preserve">供应商须知资料表</w:t>
      </w:r>
      <w:r/>
    </w:p>
    <w:p>
      <w:pPr>
        <w:ind w:firstLine="480"/>
        <w:spacing w:line="360" w:lineRule="exact"/>
        <w:rPr>
          <w:szCs w:val="21"/>
        </w:rPr>
      </w:pPr>
      <w:r>
        <w:rPr>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szCs w:val="21"/>
        </w:rPr>
        <w:t xml:space="preserve">的选项意为适用于本项目，标记</w:t>
      </w:r>
      <w:r>
        <w:rPr>
          <w:rFonts w:hint="eastAsia" w:ascii="宋体" w:hAnsi="宋体" w:cs="宋体"/>
          <w:szCs w:val="21"/>
        </w:rPr>
        <w:t xml:space="preserve">“□”</w:t>
      </w:r>
      <w:r>
        <w:rPr>
          <w:szCs w:val="21"/>
        </w:rPr>
        <w:t xml:space="preserve">的选项意为不适用于本项目。</w:t>
      </w:r>
      <w:r/>
    </w:p>
    <w:tbl>
      <w:tblPr>
        <w:tblStyle w:val="81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607"/>
        <w:gridCol w:w="6808"/>
      </w:tblGrid>
      <w:tr>
        <w:trPr>
          <w:jc w:val="center"/>
          <w:trHeight w:val="23"/>
        </w:trPr>
        <w:tc>
          <w:tcPr>
            <w:tcW w:w="939" w:type="dxa"/>
            <w:vAlign w:val="center"/>
            <w:textDirection w:val="lrTb"/>
            <w:noWrap w:val="false"/>
          </w:tcPr>
          <w:p>
            <w:pPr>
              <w:jc w:val="center"/>
              <w:spacing w:line="320" w:lineRule="exact"/>
              <w:rPr>
                <w:rFonts w:hint="eastAsia" w:ascii="宋体" w:hAnsi="宋体" w:cs="宋体"/>
                <w:b/>
                <w:bCs/>
                <w:szCs w:val="21"/>
              </w:rPr>
            </w:pPr>
            <w:r>
              <w:rPr>
                <w:rFonts w:hint="eastAsia" w:ascii="宋体" w:hAnsi="宋体" w:cs="宋体"/>
                <w:b/>
                <w:bCs/>
                <w:szCs w:val="21"/>
              </w:rPr>
              <w:t xml:space="preserve">条款号</w:t>
            </w:r>
            <w:r/>
          </w:p>
        </w:tc>
        <w:tc>
          <w:tcPr>
            <w:tcW w:w="1607" w:type="dxa"/>
            <w:vAlign w:val="center"/>
            <w:textDirection w:val="lrTb"/>
            <w:noWrap w:val="false"/>
          </w:tcPr>
          <w:p>
            <w:pPr>
              <w:jc w:val="center"/>
              <w:spacing w:line="320" w:lineRule="exact"/>
              <w:rPr>
                <w:rFonts w:hint="eastAsia" w:ascii="宋体" w:hAnsi="宋体" w:cs="宋体"/>
                <w:b/>
                <w:bCs/>
                <w:szCs w:val="21"/>
              </w:rPr>
            </w:pPr>
            <w:r>
              <w:rPr>
                <w:rFonts w:hint="eastAsia" w:ascii="宋体" w:hAnsi="宋体" w:cs="宋体"/>
                <w:b/>
                <w:bCs/>
                <w:szCs w:val="21"/>
              </w:rPr>
              <w:t xml:space="preserve">条目</w:t>
            </w:r>
            <w:r/>
          </w:p>
        </w:tc>
        <w:tc>
          <w:tcPr>
            <w:tcW w:w="6808" w:type="dxa"/>
            <w:vAlign w:val="center"/>
            <w:textDirection w:val="lrTb"/>
            <w:noWrap w:val="false"/>
          </w:tcPr>
          <w:p>
            <w:pPr>
              <w:jc w:val="center"/>
              <w:spacing w:line="320" w:lineRule="exact"/>
              <w:rPr>
                <w:rFonts w:hint="eastAsia" w:ascii="宋体" w:hAnsi="宋体" w:cs="宋体"/>
                <w:b/>
                <w:bCs/>
                <w:szCs w:val="21"/>
              </w:rPr>
            </w:pPr>
            <w:r>
              <w:rPr>
                <w:rFonts w:hint="eastAsia" w:ascii="宋体" w:hAnsi="宋体" w:cs="宋体"/>
                <w:b/>
                <w:bCs/>
                <w:szCs w:val="21"/>
              </w:rPr>
              <w:t xml:space="preserve">内容</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2.2</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项目属性</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项目属性：</w:t>
            </w:r>
            <w:r/>
          </w:p>
          <w:p>
            <w:pPr>
              <w:jc w:val="left"/>
              <w:spacing w:line="264" w:lineRule="auto"/>
              <w:rPr>
                <w:rFonts w:hint="eastAsia" w:ascii="宋体" w:hAnsi="宋体" w:cs="宋体"/>
                <w:szCs w:val="21"/>
              </w:rPr>
            </w:pPr>
            <w:r>
              <w:rPr>
                <w:rFonts w:hint="eastAsia" w:ascii="宋体" w:hAnsi="宋体" w:cs="宋体"/>
                <w:szCs w:val="21"/>
              </w:rPr>
              <w:t xml:space="preserve">■服务</w:t>
            </w:r>
            <w:r/>
          </w:p>
          <w:p>
            <w:pPr>
              <w:jc w:val="left"/>
              <w:spacing w:line="264" w:lineRule="auto"/>
              <w:rPr>
                <w:rFonts w:hint="eastAsia" w:ascii="宋体" w:hAnsi="宋体" w:cs="宋体"/>
                <w:szCs w:val="21"/>
              </w:rPr>
            </w:pPr>
            <w:r>
              <w:rPr>
                <w:rFonts w:hint="eastAsia" w:ascii="宋体" w:hAnsi="宋体" w:cs="宋体"/>
                <w:szCs w:val="21"/>
              </w:rPr>
              <w:t xml:space="preserve">□货物</w:t>
            </w:r>
            <w:r/>
          </w:p>
          <w:p>
            <w:pPr>
              <w:jc w:val="left"/>
              <w:spacing w:line="264" w:lineRule="auto"/>
              <w:rPr>
                <w:rFonts w:hint="eastAsia" w:ascii="宋体" w:hAnsi="宋体" w:cs="宋体"/>
                <w:szCs w:val="21"/>
              </w:rPr>
            </w:pPr>
            <w:r>
              <w:rPr>
                <w:rFonts w:hint="eastAsia" w:ascii="宋体" w:hAnsi="宋体" w:cs="宋体"/>
                <w:szCs w:val="21"/>
              </w:rPr>
              <w:t xml:space="preserve">□工程</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2.3</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科研仪器设备</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是否属于科研仪器设备采购项目：</w:t>
            </w:r>
            <w:r/>
          </w:p>
          <w:p>
            <w:pPr>
              <w:jc w:val="left"/>
              <w:spacing w:line="264" w:lineRule="auto"/>
              <w:rPr>
                <w:rFonts w:hint="eastAsia" w:ascii="宋体" w:hAnsi="宋体" w:cs="宋体"/>
                <w:szCs w:val="21"/>
              </w:rPr>
            </w:pPr>
            <w:r>
              <w:rPr>
                <w:rFonts w:hint="eastAsia" w:ascii="宋体" w:hAnsi="宋体" w:cs="宋体"/>
                <w:szCs w:val="21"/>
              </w:rPr>
              <w:t xml:space="preserve">□是</w:t>
            </w:r>
            <w:r/>
          </w:p>
          <w:p>
            <w:pPr>
              <w:jc w:val="left"/>
              <w:spacing w:line="264" w:lineRule="auto"/>
              <w:rPr>
                <w:rFonts w:hint="eastAsia" w:ascii="宋体" w:hAnsi="宋体" w:cs="宋体"/>
                <w:szCs w:val="21"/>
              </w:rPr>
            </w:pPr>
            <w:r>
              <w:rPr>
                <w:rFonts w:hint="eastAsia" w:ascii="宋体" w:hAnsi="宋体" w:cs="宋体"/>
                <w:szCs w:val="21"/>
              </w:rPr>
              <w:t xml:space="preserve">■否</w:t>
            </w:r>
            <w:r/>
          </w:p>
        </w:tc>
      </w:tr>
      <w:tr>
        <w:trPr>
          <w:jc w:val="center"/>
          <w:trHeight w:val="23"/>
        </w:trPr>
        <w:tc>
          <w:tcPr>
            <w:tcW w:w="939" w:type="dxa"/>
            <w:vAlign w:val="center"/>
            <w:vMerge w:val="restart"/>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现场考察</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■不组织</w:t>
            </w:r>
            <w:r/>
          </w:p>
          <w:p>
            <w:pPr>
              <w:jc w:val="left"/>
              <w:spacing w:line="264" w:lineRule="auto"/>
              <w:rPr>
                <w:rFonts w:hint="eastAsia" w:ascii="宋体" w:hAnsi="宋体" w:cs="宋体"/>
                <w:szCs w:val="21"/>
              </w:rPr>
            </w:pPr>
            <w:r>
              <w:rPr>
                <w:rFonts w:hint="eastAsia" w:ascii="宋体" w:hAnsi="宋体" w:cs="宋体"/>
                <w:szCs w:val="21"/>
              </w:rPr>
              <w:t xml:space="preserve">□组织，考察时间：</w:t>
            </w:r>
            <w:r>
              <w:rPr>
                <w:rFonts w:hint="eastAsia" w:ascii="宋体" w:hAnsi="宋体" w:cs="宋体"/>
                <w:szCs w:val="21"/>
                <w:u w:val="single"/>
              </w:rPr>
              <w:t xml:space="preserve">  /  年  /  月  /  日  /  点  /  分</w:t>
            </w:r>
            <w:r/>
          </w:p>
          <w:p>
            <w:pPr>
              <w:jc w:val="left"/>
              <w:spacing w:line="264" w:lineRule="auto"/>
              <w:rPr>
                <w:rFonts w:hint="eastAsia" w:ascii="宋体" w:hAnsi="宋体" w:cs="宋体"/>
                <w:szCs w:val="21"/>
              </w:rPr>
            </w:pPr>
            <w:r>
              <w:rPr>
                <w:rFonts w:hint="eastAsia" w:ascii="宋体" w:hAnsi="宋体" w:cs="宋体"/>
                <w:szCs w:val="21"/>
              </w:rPr>
              <w:t xml:space="preserve">考察地点：  /  。</w:t>
            </w:r>
            <w:r/>
          </w:p>
        </w:tc>
      </w:tr>
      <w:tr>
        <w:trPr>
          <w:jc w:val="center"/>
          <w:trHeight w:val="23"/>
        </w:trPr>
        <w:tc>
          <w:tcPr>
            <w:tcW w:w="939" w:type="dxa"/>
            <w:vAlign w:val="center"/>
            <w:vMerge w:val="continue"/>
            <w:textDirection w:val="lrTb"/>
            <w:noWrap w:val="false"/>
          </w:tcPr>
          <w:p>
            <w:pPr>
              <w:jc w:val="center"/>
              <w:spacing w:line="264" w:lineRule="auto"/>
              <w:rPr>
                <w:rFonts w:hint="eastAsia" w:ascii="宋体" w:hAnsi="宋体" w:cs="宋体"/>
                <w:szCs w:val="21"/>
              </w:rPr>
            </w:pPr>
            <w:r>
              <w:rPr>
                <w:rFonts w:hint="eastAsia" w:ascii="宋体" w:hAnsi="宋体" w:cs="宋体"/>
                <w:szCs w:val="21"/>
              </w:rPr>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磋商前答疑会</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■不召开</w:t>
            </w:r>
            <w:r/>
          </w:p>
          <w:p>
            <w:pPr>
              <w:jc w:val="left"/>
              <w:spacing w:line="264" w:lineRule="auto"/>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  /  年  /  月  /  日  /  点  /  分</w:t>
            </w:r>
            <w:r/>
          </w:p>
          <w:p>
            <w:pPr>
              <w:jc w:val="left"/>
              <w:spacing w:line="264" w:lineRule="auto"/>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  </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4.2.5</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标的所属行业</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w:t>
            </w:r>
            <w:r>
              <w:rPr>
                <w:rFonts w:hint="eastAsia"/>
                <w:b/>
                <w:bCs/>
                <w:u w:val="single"/>
              </w:rPr>
              <w:t xml:space="preserve">软件和信息技术服务业</w:t>
            </w:r>
            <w:r>
              <w:rPr>
                <w:rFonts w:hint="eastAsia" w:ascii="宋体" w:hAnsi="宋体" w:cs="宋体"/>
                <w:szCs w:val="21"/>
                <w:u w:val="single"/>
              </w:rPr>
              <w:t xml:space="preserve">。</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10.2</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报价</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报价的特殊规定：</w:t>
            </w:r>
            <w:r/>
          </w:p>
          <w:p>
            <w:pPr>
              <w:jc w:val="left"/>
              <w:spacing w:line="264" w:lineRule="auto"/>
              <w:rPr>
                <w:rFonts w:hint="eastAsia" w:ascii="宋体" w:hAnsi="宋体" w:cs="宋体"/>
                <w:szCs w:val="21"/>
              </w:rPr>
            </w:pPr>
            <w:r>
              <w:rPr>
                <w:rFonts w:hint="eastAsia" w:ascii="宋体" w:hAnsi="宋体" w:cs="宋体"/>
                <w:szCs w:val="21"/>
              </w:rPr>
              <w:t xml:space="preserve">□无</w:t>
            </w:r>
            <w:r/>
          </w:p>
          <w:p>
            <w:pPr>
              <w:jc w:val="left"/>
              <w:spacing w:line="264" w:lineRule="auto"/>
              <w:rPr>
                <w:rFonts w:hint="eastAsia" w:ascii="宋体" w:hAnsi="宋体" w:cs="宋体"/>
                <w:szCs w:val="21"/>
                <w:u w:val="single"/>
                <w:shd w:val="clear" w:color="auto" w:fill="ffffff"/>
              </w:rPr>
            </w:pPr>
            <w:r>
              <w:rPr>
                <w:rFonts w:hint="eastAsia" w:ascii="宋体" w:hAnsi="宋体" w:cs="宋体"/>
                <w:szCs w:val="21"/>
              </w:rPr>
              <w:t xml:space="preserve">■有，具体情形：</w:t>
            </w:r>
            <w:r>
              <w:rPr>
                <w:rFonts w:hint="eastAsia" w:ascii="宋体" w:hAnsi="宋体" w:cs="宋体"/>
                <w:b/>
                <w:bCs/>
                <w:szCs w:val="21"/>
                <w:u w:val="single"/>
                <w:shd w:val="clear" w:color="auto" w:fill="ffffff"/>
              </w:rPr>
              <w:t xml:space="preserve">本项目采用二次报价，响应文件报价一览表的报价作为首次报价</w:t>
            </w:r>
            <w:r>
              <w:rPr>
                <w:rFonts w:hint="eastAsia" w:ascii="宋体" w:hAnsi="宋体" w:cs="宋体"/>
                <w:szCs w:val="21"/>
                <w:u w:val="single"/>
                <w:shd w:val="clear" w:color="auto" w:fill="ffffff"/>
              </w:rPr>
              <w:t xml:space="preserve">，在磋商结束后，磋商小组应当要求所有实质性响应的供应商在规定时间内提交最后报价，最后报价作为评审依据。</w:t>
            </w:r>
            <w:r/>
          </w:p>
          <w:p>
            <w:pPr>
              <w:jc w:val="left"/>
              <w:spacing w:line="264" w:lineRule="auto"/>
              <w:rPr>
                <w:rFonts w:hint="eastAsia" w:ascii="宋体" w:hAnsi="宋体" w:cs="宋体"/>
                <w:szCs w:val="21"/>
              </w:rPr>
            </w:pPr>
            <w:r>
              <w:rPr>
                <w:rFonts w:hint="eastAsia" w:ascii="宋体" w:hAnsi="宋体" w:cs="宋体"/>
                <w:szCs w:val="21"/>
                <w:u w:val="single"/>
                <w:shd w:val="clear" w:color="auto" w:fill="ffffff"/>
              </w:rPr>
              <w:t xml:space="preserve">成交人的最终报价即为成交价，成交人在合同签订前，须提交最终报价的分项报价清单，</w:t>
            </w:r>
            <w:r>
              <w:rPr>
                <w:rFonts w:hint="eastAsia" w:ascii="宋体" w:hAnsi="宋体" w:cs="宋体"/>
                <w:b/>
                <w:bCs/>
                <w:szCs w:val="21"/>
                <w:u w:val="single"/>
                <w:shd w:val="clear" w:color="auto" w:fill="ffffff"/>
              </w:rPr>
              <w:t xml:space="preserve">最终报价的单价按成交下浮率同步下浮。</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11.1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磋商保证金</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免收</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12.1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响应有效期</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  60  </w:t>
            </w:r>
            <w:r>
              <w:rPr>
                <w:rFonts w:hint="eastAsia" w:ascii="宋体" w:hAnsi="宋体" w:cs="宋体"/>
                <w:szCs w:val="21"/>
              </w:rPr>
              <w:t xml:space="preserve">日历天。</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23.5</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分包</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本项目是否允许分包： </w:t>
            </w:r>
            <w:r/>
          </w:p>
          <w:p>
            <w:pPr>
              <w:jc w:val="left"/>
              <w:spacing w:line="264" w:lineRule="auto"/>
              <w:rPr>
                <w:rFonts w:hint="eastAsia" w:ascii="宋体" w:hAnsi="宋体" w:cs="宋体"/>
                <w:szCs w:val="21"/>
              </w:rPr>
            </w:pPr>
            <w:r>
              <w:rPr>
                <w:rFonts w:hint="eastAsia" w:ascii="宋体" w:hAnsi="宋体" w:cs="宋体"/>
                <w:szCs w:val="21"/>
              </w:rPr>
              <w:t xml:space="preserve">■不允许</w:t>
            </w:r>
            <w:r/>
          </w:p>
          <w:p>
            <w:pPr>
              <w:jc w:val="left"/>
              <w:spacing w:line="264" w:lineRule="auto"/>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  </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 </w:t>
            </w:r>
            <w:r>
              <w:rPr>
                <w:rFonts w:hint="eastAsia" w:ascii="宋体" w:hAnsi="宋体" w:cs="宋体"/>
                <w:szCs w:val="21"/>
              </w:rPr>
              <w:t xml:space="preserve"> ；</w:t>
            </w:r>
            <w:r/>
          </w:p>
          <w:p>
            <w:pPr>
              <w:jc w:val="left"/>
              <w:spacing w:line="264" w:lineRule="auto"/>
              <w:rPr>
                <w:rFonts w:hint="eastAsia" w:ascii="宋体" w:hAnsi="宋体" w:cs="宋体"/>
                <w:szCs w:val="21"/>
              </w:rPr>
            </w:pPr>
            <w:r>
              <w:rPr>
                <w:rFonts w:hint="eastAsia" w:ascii="宋体" w:hAnsi="宋体" w:cs="宋体"/>
                <w:szCs w:val="21"/>
              </w:rPr>
              <w:t xml:space="preserve">（3）其他要求：</w:t>
            </w:r>
            <w:r>
              <w:rPr>
                <w:rFonts w:hint="eastAsia" w:ascii="宋体" w:hAnsi="宋体" w:cs="宋体"/>
                <w:szCs w:val="21"/>
                <w:u w:val="single"/>
              </w:rPr>
              <w:t xml:space="preserve">  /  </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24.1.1</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询问</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lang w:val="zh-CN"/>
              </w:rPr>
              <w:t xml:space="preserve">以书面形式。</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24.3</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联系方式</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接收询问和质疑的联系方式</w:t>
            </w:r>
            <w:r/>
          </w:p>
          <w:p>
            <w:pPr>
              <w:jc w:val="left"/>
              <w:spacing w:line="264" w:lineRule="auto"/>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p>
          <w:p>
            <w:pPr>
              <w:jc w:val="left"/>
              <w:spacing w:line="264" w:lineRule="auto"/>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p>
        </w:tc>
      </w:tr>
      <w:tr>
        <w:trPr>
          <w:jc w:val="center"/>
          <w:trHeight w:val="23"/>
        </w:trPr>
        <w:tc>
          <w:tcPr>
            <w:tcW w:w="93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25</w:t>
            </w:r>
            <w:r/>
          </w:p>
        </w:tc>
        <w:tc>
          <w:tcPr>
            <w:tcW w:w="160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代理费</w:t>
            </w:r>
            <w:r/>
          </w:p>
        </w:tc>
        <w:tc>
          <w:tcPr>
            <w:tcW w:w="6808"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zCs w:val="21"/>
              </w:rPr>
              <w:t xml:space="preserve">收费对象：</w:t>
            </w:r>
            <w:r/>
          </w:p>
          <w:p>
            <w:pPr>
              <w:jc w:val="left"/>
              <w:spacing w:line="264" w:lineRule="auto"/>
              <w:rPr>
                <w:rFonts w:hint="eastAsia" w:ascii="宋体" w:hAnsi="宋体" w:cs="宋体"/>
                <w:szCs w:val="21"/>
              </w:rPr>
            </w:pPr>
            <w:r>
              <w:rPr>
                <w:rFonts w:hint="eastAsia" w:ascii="宋体" w:hAnsi="宋体" w:cs="宋体"/>
                <w:szCs w:val="21"/>
              </w:rPr>
              <w:t xml:space="preserve">□采购人</w:t>
            </w:r>
            <w:r/>
          </w:p>
          <w:p>
            <w:pPr>
              <w:jc w:val="left"/>
              <w:spacing w:line="264" w:lineRule="auto"/>
              <w:rPr>
                <w:rFonts w:hint="eastAsia" w:ascii="宋体" w:hAnsi="宋体" w:cs="宋体"/>
                <w:szCs w:val="21"/>
              </w:rPr>
            </w:pPr>
            <w:r>
              <w:rPr>
                <w:rFonts w:hint="eastAsia" w:ascii="宋体" w:hAnsi="宋体" w:cs="宋体"/>
                <w:szCs w:val="21"/>
              </w:rPr>
              <w:t xml:space="preserve">■成交供应商</w:t>
            </w:r>
            <w:r/>
          </w:p>
          <w:p>
            <w:pPr>
              <w:jc w:val="left"/>
              <w:spacing w:line="264" w:lineRule="auto"/>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u w:val="single"/>
              </w:rPr>
              <w:t xml:space="preserve">按照苏政采协【2024】20号文收费标准收取。</w:t>
            </w:r>
            <w:r/>
          </w:p>
          <w:p>
            <w:pPr>
              <w:jc w:val="left"/>
              <w:spacing w:line="264" w:lineRule="auto"/>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rPr>
              <w:t xml:space="preserve">领取成交通知书的同时</w:t>
            </w:r>
            <w:r>
              <w:rPr>
                <w:rFonts w:hint="eastAsia" w:ascii="宋体" w:hAnsi="宋体" w:cs="宋体"/>
                <w:szCs w:val="21"/>
              </w:rPr>
              <w:t xml:space="preserve">。</w:t>
            </w:r>
            <w:r/>
          </w:p>
        </w:tc>
      </w:tr>
    </w:tbl>
    <w:p>
      <w:pPr>
        <w:jc w:val="center"/>
        <w:pageBreakBefore w:val="0"/>
        <w:spacing w:line="341" w:lineRule="auto"/>
        <w:widowControl w:val="off"/>
        <w:rPr>
          <w:szCs w:val="30"/>
        </w:rPr>
      </w:pPr>
      <w:r/>
      <w:bookmarkStart w:id="48" w:name="_Toc264969209"/>
      <w:r/>
      <w:bookmarkStart w:id="49" w:name="_Toc305158861"/>
      <w:r/>
      <w:bookmarkStart w:id="50" w:name="_Toc305158787"/>
      <w:r/>
      <w:bookmarkStart w:id="51" w:name="_Toc265228357"/>
      <w:r/>
      <w:bookmarkStart w:id="52" w:name="_Toc353825544"/>
      <w:r/>
      <w:bookmarkStart w:id="53" w:name="_Toc226965827"/>
      <w:r/>
      <w:bookmarkStart w:id="54" w:name="_Toc127151554"/>
      <w:r/>
      <w:bookmarkStart w:id="55" w:name="_Toc264969244"/>
      <w:r/>
      <w:bookmarkStart w:id="56" w:name="_Toc226337250"/>
      <w:r/>
      <w:bookmarkStart w:id="57" w:name="_Toc353873934"/>
      <w:r/>
      <w:bookmarkStart w:id="58" w:name="_Toc142311056"/>
      <w:r/>
      <w:bookmarkStart w:id="59" w:name="_Toc305158822"/>
      <w:r/>
      <w:bookmarkStart w:id="60" w:name="_Toc353873664"/>
      <w:r/>
      <w:bookmarkStart w:id="61" w:name="_Toc150480792"/>
      <w:r/>
      <w:bookmarkStart w:id="62" w:name="_Toc265228392"/>
      <w:r/>
      <w:bookmarkStart w:id="63" w:name="_Toc305158896"/>
      <w:r/>
      <w:bookmarkStart w:id="64" w:name="_Toc150774759"/>
      <w:r>
        <w:rPr>
          <w:rFonts w:hint="eastAsia"/>
          <w:szCs w:val="30"/>
        </w:rPr>
        <w:br w:type="page" w:clear="all"/>
      </w:r>
      <w:bookmarkEnd w:id="48"/>
      <w:r/>
      <w:bookmarkEnd w:id="49"/>
      <w:r/>
      <w:bookmarkEnd w:id="50"/>
      <w:r/>
      <w:bookmarkEnd w:id="51"/>
      <w:r>
        <w:rPr>
          <w:rFonts w:hint="eastAsia"/>
          <w:b/>
          <w:sz w:val="30"/>
          <w:szCs w:val="30"/>
        </w:rPr>
        <w:t xml:space="preserve">供应商须知</w:t>
      </w:r>
      <w:r/>
    </w:p>
    <w:p>
      <w:pPr>
        <w:jc w:val="center"/>
        <w:pageBreakBefore w:val="0"/>
        <w:spacing w:line="341" w:lineRule="auto"/>
        <w:widowControl w:val="off"/>
        <w:tabs>
          <w:tab w:val="left" w:pos="360" w:leader="none"/>
        </w:tabs>
        <w:rPr>
          <w:rFonts w:hint="eastAsia" w:ascii="宋体" w:hAnsi="宋体" w:cs="宋体"/>
          <w:szCs w:val="21"/>
        </w:rPr>
        <w:outlineLvl w:val="1"/>
      </w:pPr>
      <w:r/>
      <w:bookmarkStart w:id="65" w:name="_Toc150480756"/>
      <w:r/>
      <w:bookmarkStart w:id="66" w:name="_Toc151193760"/>
      <w:r/>
      <w:bookmarkStart w:id="67" w:name="_Toc305158860"/>
      <w:r/>
      <w:bookmarkStart w:id="68" w:name="_Toc195842883"/>
      <w:r/>
      <w:bookmarkStart w:id="69" w:name="_Toc226965791"/>
      <w:r/>
      <w:bookmarkStart w:id="70" w:name="_Toc265228356"/>
      <w:r/>
      <w:bookmarkStart w:id="71" w:name="_Toc150509269"/>
      <w:r/>
      <w:bookmarkStart w:id="72" w:name="_Toc264969208"/>
      <w:r/>
      <w:bookmarkStart w:id="73" w:name="_Toc151193616"/>
      <w:r/>
      <w:bookmarkStart w:id="74" w:name="_Toc127151518"/>
      <w:r/>
      <w:bookmarkStart w:id="75" w:name="_Toc151193832"/>
      <w:r/>
      <w:bookmarkStart w:id="76" w:name="_Toc151193688"/>
      <w:r/>
      <w:bookmarkStart w:id="77" w:name="_Toc226309762"/>
      <w:r/>
      <w:bookmarkStart w:id="78" w:name="_Toc226965708"/>
      <w:r/>
      <w:bookmarkStart w:id="79" w:name="_Toc520356143"/>
      <w:r/>
      <w:bookmarkStart w:id="80" w:name="_Toc226337214"/>
      <w:r/>
      <w:bookmarkStart w:id="81" w:name="_Toc142311020"/>
      <w:r/>
      <w:bookmarkStart w:id="82" w:name="_Toc150774723"/>
      <w:r/>
      <w:bookmarkStart w:id="83" w:name="_Toc305158786"/>
      <w:r/>
      <w:bookmarkStart w:id="84" w:name="_Toc150774618"/>
      <w:r/>
      <w:bookmarkStart w:id="85" w:name="_Toc151193906"/>
      <w:r/>
      <w:bookmarkStart w:id="86" w:name="_Toc151190145"/>
      <w:r>
        <w:rPr>
          <w:b/>
          <w:sz w:val="28"/>
          <w:szCs w:val="28"/>
        </w:rPr>
        <w:t xml:space="preserve">一</w:t>
      </w:r>
      <w:r>
        <w:rPr>
          <w:rFonts w:hint="eastAsia"/>
          <w:b/>
          <w:sz w:val="28"/>
          <w:szCs w:val="28"/>
        </w:rPr>
        <w:t xml:space="preserve">、</w:t>
      </w:r>
      <w:r>
        <w:rPr>
          <w:b/>
          <w:sz w:val="28"/>
          <w:szCs w:val="28"/>
        </w:rPr>
        <w:t xml:space="preserve">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1021"/>
        <w:pageBreakBefore w:val="0"/>
        <w:spacing w:line="341" w:lineRule="auto"/>
        <w:widowControl w:val="off"/>
        <w:rPr>
          <w:rFonts w:hint="eastAsia"/>
        </w:rPr>
      </w:pPr>
      <w:r>
        <w:rPr>
          <w:rFonts w:hint="eastAsia"/>
        </w:rPr>
      </w:r>
      <w:r/>
    </w:p>
    <w:p>
      <w:pPr>
        <w:numPr>
          <w:ilvl w:val="0"/>
          <w:numId w:val="9"/>
        </w:numPr>
        <w:ind w:left="357" w:hanging="357"/>
        <w:pageBreakBefore w:val="0"/>
        <w:spacing w:line="341" w:lineRule="auto"/>
        <w:widowControl w:val="off"/>
        <w:tabs>
          <w:tab w:val="left" w:pos="360" w:leader="none"/>
          <w:tab w:val="clear" w:pos="900" w:leader="none"/>
        </w:tabs>
        <w:rPr>
          <w:rFonts w:hint="eastAsia" w:ascii="宋体" w:hAnsi="宋体" w:cs="宋体"/>
          <w:szCs w:val="21"/>
        </w:rPr>
        <w:outlineLvl w:val="1"/>
      </w:pPr>
      <w:r>
        <w:rPr>
          <w:rFonts w:hint="eastAsia" w:ascii="宋体" w:hAnsi="宋体" w:cs="宋体"/>
          <w:szCs w:val="21"/>
        </w:rPr>
        <w:t xml:space="preserve">采购人、采购代理机构、供应商、联合体</w:t>
      </w:r>
      <w:r/>
    </w:p>
    <w:p>
      <w:pPr>
        <w:numPr>
          <w:ilvl w:val="1"/>
          <w:numId w:val="9"/>
        </w:numPr>
        <w:ind w:left="1080" w:hanging="720"/>
        <w:pageBreakBefore w:val="0"/>
        <w:spacing w:line="341" w:lineRule="auto"/>
        <w:widowControl w:val="off"/>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pageBreakBefore w:val="0"/>
        <w:spacing w:line="341" w:lineRule="auto"/>
        <w:widowControl w:val="off"/>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9"/>
        </w:numPr>
        <w:ind w:left="1080" w:hanging="720"/>
        <w:pageBreakBefore w:val="0"/>
        <w:spacing w:line="341" w:lineRule="auto"/>
        <w:widowControl w:val="off"/>
        <w:tabs>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9"/>
        </w:numPr>
        <w:ind w:left="357" w:hanging="357"/>
        <w:pageBreakBefore w:val="0"/>
        <w:spacing w:line="341" w:lineRule="auto"/>
        <w:widowControl w:val="off"/>
        <w:tabs>
          <w:tab w:val="left" w:pos="360" w:leader="none"/>
          <w:tab w:val="clear" w:pos="900" w:leader="none"/>
        </w:tabs>
        <w:rPr>
          <w:rFonts w:hint="eastAsia" w:ascii="宋体" w:hAnsi="宋体" w:cs="宋体"/>
          <w:szCs w:val="21"/>
        </w:rPr>
        <w:outlineLvl w:val="1"/>
      </w:pPr>
      <w:r/>
      <w:bookmarkStart w:id="87" w:name="_Toc226337216"/>
      <w:r/>
      <w:bookmarkStart w:id="88" w:name="_Toc127161434"/>
      <w:r/>
      <w:bookmarkStart w:id="89" w:name="_Toc151190147"/>
      <w:r/>
      <w:bookmarkStart w:id="90" w:name="_Toc150480758"/>
      <w:r/>
      <w:bookmarkStart w:id="91" w:name="_Toc226965793"/>
      <w:r/>
      <w:bookmarkStart w:id="92" w:name="_Toc151193618"/>
      <w:r/>
      <w:bookmarkStart w:id="93" w:name="_Toc142311022"/>
      <w:r/>
      <w:bookmarkStart w:id="94" w:name="_Toc305158862"/>
      <w:r/>
      <w:bookmarkStart w:id="95" w:name="_Toc164608789"/>
      <w:r/>
      <w:bookmarkStart w:id="96" w:name="_Toc226309764"/>
      <w:r/>
      <w:bookmarkStart w:id="97" w:name="_Toc305158788"/>
      <w:r/>
      <w:bookmarkStart w:id="98" w:name="_Toc151193690"/>
      <w:r/>
      <w:bookmarkStart w:id="99" w:name="_Toc226965710"/>
      <w:r/>
      <w:bookmarkStart w:id="100" w:name="_Toc164351614"/>
      <w:r/>
      <w:bookmarkStart w:id="101" w:name="_Toc195842885"/>
      <w:r/>
      <w:bookmarkStart w:id="102" w:name="_Toc264969210"/>
      <w:r/>
      <w:bookmarkStart w:id="103" w:name="_Toc151193762"/>
      <w:r/>
      <w:bookmarkStart w:id="104" w:name="_Toc164229361"/>
      <w:r/>
      <w:bookmarkStart w:id="105" w:name="_Toc151193834"/>
      <w:r/>
      <w:bookmarkStart w:id="106" w:name="_Toc265228358"/>
      <w:r/>
      <w:bookmarkStart w:id="107" w:name="_Toc150509271"/>
      <w:r/>
      <w:bookmarkStart w:id="108" w:name="_Toc151193908"/>
      <w:r/>
      <w:bookmarkStart w:id="109" w:name="_Toc127151520"/>
      <w:r/>
      <w:bookmarkStart w:id="110" w:name="_Toc150774620"/>
      <w:r/>
      <w:bookmarkStart w:id="111" w:name="_Toc164608634"/>
      <w:r/>
      <w:bookmarkStart w:id="112" w:name="_Toc149720813"/>
      <w:r/>
      <w:bookmarkStart w:id="113" w:name="_Toc164229215"/>
      <w:r/>
      <w:bookmarkStart w:id="114" w:name="_Toc150774725"/>
      <w:r/>
      <w:bookmarkStart w:id="115" w:name="_Toc127151721"/>
      <w:r>
        <w:rPr>
          <w:rFonts w:hint="eastAsia" w:ascii="宋体" w:hAnsi="宋体" w:cs="宋体"/>
          <w:szCs w:val="21"/>
        </w:rPr>
        <w:t xml:space="preserve">资金来源</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cs="宋体"/>
          <w:szCs w:val="21"/>
        </w:rPr>
        <w:t xml:space="preserve">、项目属性、科研仪器设备采购</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项目属性见《供应商须知资料表》。</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是否属于科研仪器设备采购见《供应商须知资料表》。</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现场考察、磋商前答疑会</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16" w:name="_Toc305158864"/>
      <w:r/>
      <w:bookmarkStart w:id="117" w:name="_Toc151193836"/>
      <w:r/>
      <w:bookmarkStart w:id="118" w:name="_Toc151193764"/>
      <w:r/>
      <w:bookmarkStart w:id="119" w:name="_Toc226965795"/>
      <w:r/>
      <w:bookmarkStart w:id="120" w:name="_Toc305158790"/>
      <w:r/>
      <w:bookmarkStart w:id="121" w:name="_Toc226309766"/>
      <w:r/>
      <w:bookmarkStart w:id="122" w:name="_Toc150480760"/>
      <w:r/>
      <w:bookmarkStart w:id="123" w:name="_Toc226965712"/>
      <w:r/>
      <w:bookmarkStart w:id="124" w:name="_Toc151190149"/>
      <w:r/>
      <w:bookmarkStart w:id="125" w:name="_Toc264969212"/>
      <w:r/>
      <w:bookmarkStart w:id="126" w:name="_Toc265228360"/>
      <w:r/>
      <w:bookmarkStart w:id="127" w:name="_Toc195842887"/>
      <w:r/>
      <w:bookmarkStart w:id="128" w:name="_Toc150509273"/>
      <w:r/>
      <w:bookmarkStart w:id="129" w:name="_Toc520356146"/>
      <w:r/>
      <w:bookmarkStart w:id="130" w:name="_Toc142311024"/>
      <w:r/>
      <w:bookmarkStart w:id="131" w:name="_Toc151193910"/>
      <w:r/>
      <w:bookmarkStart w:id="132" w:name="_Toc151193692"/>
      <w:r/>
      <w:bookmarkStart w:id="133" w:name="_Toc226337218"/>
      <w:r/>
      <w:bookmarkStart w:id="134" w:name="_Toc150774727"/>
      <w:r/>
      <w:bookmarkStart w:id="135" w:name="_Toc151193620"/>
      <w:r/>
      <w:bookmarkStart w:id="136" w:name="_Toc150774622"/>
      <w:r/>
      <w:bookmarkStart w:id="137" w:name="_Toc127151522"/>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pageBreakBefore w:val="0"/>
        <w:spacing w:line="341" w:lineRule="auto"/>
        <w:widowControl w:val="off"/>
        <w:tabs>
          <w:tab w:val="left" w:pos="360" w:leader="none"/>
          <w:tab w:val="clear" w:pos="90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进口产品</w:t>
      </w:r>
      <w:r/>
    </w:p>
    <w:p>
      <w:pPr>
        <w:numPr>
          <w:ilvl w:val="2"/>
          <w:numId w:val="9"/>
        </w:numPr>
        <w:pageBreakBefore w:val="0"/>
        <w:spacing w:line="341" w:lineRule="auto"/>
        <w:widowControl w:val="off"/>
        <w:tabs>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中小企业定义：</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p>
    <w:p>
      <w:pPr>
        <w:ind w:left="2835"/>
        <w:pageBreakBefore w:val="0"/>
        <w:spacing w:line="341"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pageBreakBefore w:val="0"/>
        <w:spacing w:line="341"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pageBreakBefore w:val="0"/>
        <w:spacing w:line="341" w:lineRule="auto"/>
        <w:widowControl w:val="off"/>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pStyle w:val="1231"/>
        <w:numPr>
          <w:ilvl w:val="2"/>
          <w:numId w:val="9"/>
        </w:numPr>
        <w:pageBreakBefore w:val="0"/>
        <w:spacing w:line="341" w:lineRule="auto"/>
        <w:widowControl w:val="off"/>
        <w:tabs>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1231"/>
        <w:numPr>
          <w:ilvl w:val="2"/>
          <w:numId w:val="9"/>
        </w:numPr>
        <w:pageBreakBefore w:val="0"/>
        <w:spacing w:line="341" w:lineRule="auto"/>
        <w:widowControl w:val="off"/>
        <w:tabs>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pageBreakBefore w:val="0"/>
        <w:spacing w:line="341" w:lineRule="auto"/>
        <w:widowControl w:val="off"/>
        <w:tabs>
          <w:tab w:val="clear" w:pos="900" w:leader="none"/>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9"/>
        </w:numPr>
        <w:pageBreakBefore w:val="0"/>
        <w:spacing w:line="341" w:lineRule="auto"/>
        <w:widowControl w:val="off"/>
        <w:tabs>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p>
    <w:p>
      <w:pPr>
        <w:numPr>
          <w:ilvl w:val="2"/>
          <w:numId w:val="9"/>
        </w:numPr>
        <w:pageBreakBefore w:val="0"/>
        <w:spacing w:line="341" w:lineRule="auto"/>
        <w:widowControl w:val="off"/>
        <w:tabs>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正版软件</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p>
    <w:p>
      <w:pPr>
        <w:numPr>
          <w:ilvl w:val="2"/>
          <w:numId w:val="9"/>
        </w:numPr>
        <w:pageBreakBefore w:val="0"/>
        <w:spacing w:line="341" w:lineRule="auto"/>
        <w:widowControl w:val="off"/>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绿色采购政策</w:t>
      </w:r>
      <w:r/>
    </w:p>
    <w:p>
      <w:pPr>
        <w:numPr>
          <w:ilvl w:val="2"/>
          <w:numId w:val="9"/>
        </w:numPr>
        <w:pageBreakBefore w:val="0"/>
        <w:spacing w:line="341" w:lineRule="auto"/>
        <w:widowControl w:val="off"/>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绿色数据中心政策 </w:t>
      </w:r>
      <w:r/>
    </w:p>
    <w:p>
      <w:pPr>
        <w:ind w:left="108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9"/>
        </w:numPr>
        <w:pageBreakBefore w:val="0"/>
        <w:spacing w:line="341" w:lineRule="auto"/>
        <w:widowControl w:val="off"/>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推广应用绿色建材</w:t>
      </w:r>
      <w:r/>
    </w:p>
    <w:p>
      <w:pPr>
        <w:ind w:left="108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9"/>
        </w:numPr>
        <w:pageBreakBefore w:val="0"/>
        <w:spacing w:line="341" w:lineRule="auto"/>
        <w:widowControl w:val="off"/>
        <w:tabs>
          <w:tab w:val="left" w:pos="1080" w:leader="none"/>
          <w:tab w:val="clear" w:pos="1980" w:leader="none"/>
          <w:tab w:val="left" w:pos="2014" w:leader="none"/>
        </w:tabs>
        <w:rPr>
          <w:rFonts w:hint="eastAsia" w:ascii="宋体" w:hAnsi="宋体" w:cs="宋体"/>
          <w:szCs w:val="21"/>
        </w:rPr>
      </w:pPr>
      <w:r>
        <w:rPr>
          <w:rFonts w:hint="eastAsia" w:ascii="宋体" w:hAnsi="宋体" w:cs="宋体"/>
          <w:szCs w:val="21"/>
        </w:rPr>
        <w:t xml:space="preserve">优先使用低挥发性有机化合物产品</w:t>
      </w:r>
      <w:r/>
    </w:p>
    <w:p>
      <w:pPr>
        <w:ind w:left="108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响应费用</w:t>
      </w:r>
      <w:r/>
    </w:p>
    <w:p>
      <w:pPr>
        <w:numPr>
          <w:ilvl w:val="1"/>
          <w:numId w:val="9"/>
        </w:numPr>
        <w:ind w:left="1080" w:hanging="720"/>
        <w:pageBreakBefore w:val="0"/>
        <w:spacing w:line="341" w:lineRule="auto"/>
        <w:widowControl w:val="off"/>
        <w:tabs>
          <w:tab w:val="left" w:pos="1080" w:leader="none"/>
          <w:tab w:val="left" w:pos="2014" w:leader="none"/>
        </w:tabs>
        <w:rPr>
          <w:sz w:val="28"/>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bookmarkStart w:id="138" w:name="_1.8_计量单位"/>
      <w:r/>
      <w:bookmarkEnd w:id="138"/>
      <w:r/>
      <w:r/>
    </w:p>
    <w:p>
      <w:pPr>
        <w:pStyle w:val="804"/>
        <w:pageBreakBefore w:val="0"/>
        <w:spacing w:before="0" w:line="341" w:lineRule="auto"/>
        <w:widowControl w:val="off"/>
        <w:rPr>
          <w:rFonts w:ascii="Times New Roman" w:hAnsi="Times New Roman" w:eastAsia="宋体"/>
          <w:sz w:val="28"/>
        </w:rPr>
      </w:pPr>
      <w:r>
        <w:rPr>
          <w:rFonts w:ascii="Times New Roman" w:hAnsi="Times New Roman" w:eastAsia="宋体"/>
          <w:sz w:val="28"/>
        </w:rPr>
        <w:t xml:space="preserve">二</w:t>
      </w:r>
      <w:r>
        <w:rPr>
          <w:rFonts w:hint="eastAsia" w:ascii="Times New Roman" w:hAnsi="Times New Roman" w:eastAsia="宋体"/>
          <w:sz w:val="28"/>
        </w:rPr>
        <w:t xml:space="preserve">、</w:t>
      </w:r>
      <w:r>
        <w:rPr>
          <w:rFonts w:ascii="Times New Roman" w:hAnsi="Times New Roman" w:eastAsia="宋体"/>
          <w:sz w:val="28"/>
        </w:rPr>
        <w:t xml:space="preserve">竞争性磋商文件</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139" w:name="_Toc305158865"/>
      <w:r/>
      <w:bookmarkStart w:id="140" w:name="_Toc127161437"/>
      <w:r/>
      <w:bookmarkStart w:id="141" w:name="_Toc142311025"/>
      <w:r/>
      <w:bookmarkStart w:id="142" w:name="_Toc164608792"/>
      <w:r/>
      <w:bookmarkStart w:id="143" w:name="_Toc164229364"/>
      <w:r/>
      <w:bookmarkStart w:id="144" w:name="_Toc151193621"/>
      <w:r/>
      <w:bookmarkStart w:id="145" w:name="_Toc150509274"/>
      <w:r/>
      <w:bookmarkStart w:id="146" w:name="_Toc151193837"/>
      <w:r/>
      <w:bookmarkStart w:id="147" w:name="_Toc151193911"/>
      <w:r/>
      <w:bookmarkStart w:id="148" w:name="_Toc164351617"/>
      <w:r/>
      <w:bookmarkStart w:id="149" w:name="_Toc226965713"/>
      <w:r/>
      <w:bookmarkStart w:id="150" w:name="_Toc226309767"/>
      <w:r/>
      <w:bookmarkStart w:id="151" w:name="_Toc151193765"/>
      <w:r/>
      <w:bookmarkStart w:id="152" w:name="_Toc149720816"/>
      <w:r/>
      <w:bookmarkStart w:id="153" w:name="_Toc150774728"/>
      <w:r/>
      <w:bookmarkStart w:id="154" w:name="_Toc265228361"/>
      <w:r/>
      <w:bookmarkStart w:id="155" w:name="_Toc226337219"/>
      <w:r/>
      <w:bookmarkStart w:id="156" w:name="_Toc164229218"/>
      <w:r/>
      <w:bookmarkStart w:id="157" w:name="_Toc151193693"/>
      <w:r/>
      <w:bookmarkStart w:id="158" w:name="_Toc150480761"/>
      <w:r/>
      <w:bookmarkStart w:id="159" w:name="_Toc520356147"/>
      <w:r/>
      <w:bookmarkStart w:id="160" w:name="_Toc195842888"/>
      <w:r/>
      <w:bookmarkStart w:id="161" w:name="_Toc150774623"/>
      <w:r/>
      <w:bookmarkStart w:id="162" w:name="_Toc164608637"/>
      <w:r/>
      <w:bookmarkStart w:id="163" w:name="_Toc264969213"/>
      <w:r/>
      <w:bookmarkStart w:id="164" w:name="_Toc151190150"/>
      <w:r/>
      <w:bookmarkStart w:id="165" w:name="_Toc305158791"/>
      <w:r/>
      <w:bookmarkStart w:id="166" w:name="_Toc127151724"/>
      <w:r/>
      <w:bookmarkStart w:id="167" w:name="_Toc226965796"/>
      <w:r/>
      <w:bookmarkStart w:id="168" w:name="_Toc127151523"/>
      <w:r>
        <w:rPr>
          <w:rFonts w:hint="eastAsia" w:ascii="宋体" w:hAnsi="宋体" w:cs="宋体"/>
          <w:szCs w:val="21"/>
        </w:rPr>
        <w:t xml:space="preserve">竞争性磋商文件构</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szCs w:val="21"/>
        </w:rPr>
        <w:t xml:space="preserve">成</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竞争性磋商文件包括以下部分：</w:t>
      </w:r>
      <w:r/>
    </w:p>
    <w:p>
      <w:pPr>
        <w:numPr>
          <w:ilvl w:val="0"/>
          <w:numId w:val="10"/>
        </w:numPr>
        <w:ind w:left="1440" w:firstLine="5"/>
        <w:pageBreakBefore w:val="0"/>
        <w:spacing w:line="341" w:lineRule="auto"/>
        <w:widowControl w:val="off"/>
        <w:tabs>
          <w:tab w:val="left" w:pos="1980" w:leader="none"/>
          <w:tab w:val="left" w:pos="2520" w:leader="none"/>
        </w:tabs>
        <w:rPr>
          <w:rFonts w:hint="eastAsia" w:ascii="宋体" w:hAnsi="宋体" w:cs="宋体"/>
          <w:szCs w:val="21"/>
        </w:rPr>
      </w:pPr>
      <w:r>
        <w:rPr>
          <w:rFonts w:hint="eastAsia" w:ascii="宋体" w:hAnsi="宋体" w:cs="宋体"/>
          <w:szCs w:val="21"/>
        </w:rPr>
        <w:t xml:space="preserve">采购邀请</w:t>
      </w:r>
      <w:r/>
    </w:p>
    <w:p>
      <w:pPr>
        <w:numPr>
          <w:ilvl w:val="0"/>
          <w:numId w:val="10"/>
        </w:numPr>
        <w:ind w:left="1440" w:firstLine="5"/>
        <w:pageBreakBefore w:val="0"/>
        <w:spacing w:line="341" w:lineRule="auto"/>
        <w:widowControl w:val="off"/>
        <w:tabs>
          <w:tab w:val="left" w:pos="1980" w:leader="none"/>
          <w:tab w:val="left" w:pos="2520" w:leader="none"/>
        </w:tabs>
        <w:rPr>
          <w:rFonts w:hint="eastAsia" w:ascii="宋体" w:hAnsi="宋体" w:cs="宋体"/>
          <w:szCs w:val="21"/>
        </w:rPr>
      </w:pPr>
      <w:r>
        <w:rPr>
          <w:rFonts w:hint="eastAsia" w:ascii="宋体" w:hAnsi="宋体" w:cs="宋体"/>
          <w:szCs w:val="21"/>
        </w:rPr>
        <w:t xml:space="preserve">供应商须知</w:t>
      </w:r>
      <w:r/>
    </w:p>
    <w:p>
      <w:pPr>
        <w:numPr>
          <w:ilvl w:val="0"/>
          <w:numId w:val="10"/>
        </w:numPr>
        <w:ind w:left="1440" w:firstLine="5"/>
        <w:pageBreakBefore w:val="0"/>
        <w:spacing w:line="341" w:lineRule="auto"/>
        <w:widowControl w:val="off"/>
        <w:tabs>
          <w:tab w:val="left" w:pos="1980" w:leader="none"/>
          <w:tab w:val="left" w:pos="2520" w:leader="none"/>
        </w:tabs>
        <w:rPr>
          <w:rFonts w:hint="eastAsia" w:ascii="宋体" w:hAnsi="宋体" w:cs="宋体"/>
          <w:szCs w:val="21"/>
        </w:rPr>
      </w:pPr>
      <w:r>
        <w:rPr>
          <w:rFonts w:hint="eastAsia" w:ascii="宋体" w:hAnsi="宋体" w:cs="宋体"/>
          <w:szCs w:val="21"/>
        </w:rPr>
        <w:t xml:space="preserve">评审程序、评审方法和评审标准</w:t>
      </w:r>
      <w:r/>
    </w:p>
    <w:p>
      <w:pPr>
        <w:numPr>
          <w:ilvl w:val="0"/>
          <w:numId w:val="10"/>
        </w:numPr>
        <w:ind w:left="1440" w:firstLine="5"/>
        <w:pageBreakBefore w:val="0"/>
        <w:spacing w:line="341" w:lineRule="auto"/>
        <w:widowControl w:val="off"/>
        <w:tabs>
          <w:tab w:val="left" w:pos="1980" w:leader="none"/>
          <w:tab w:val="left" w:pos="2520" w:leader="none"/>
        </w:tabs>
        <w:rPr>
          <w:rFonts w:hint="eastAsia" w:ascii="宋体" w:hAnsi="宋体" w:cs="宋体"/>
          <w:szCs w:val="21"/>
        </w:rPr>
      </w:pPr>
      <w:r>
        <w:rPr>
          <w:rFonts w:hint="eastAsia" w:ascii="宋体" w:hAnsi="宋体" w:cs="宋体"/>
          <w:szCs w:val="21"/>
        </w:rPr>
        <w:t xml:space="preserve">采购需求</w:t>
      </w:r>
      <w:r/>
    </w:p>
    <w:p>
      <w:pPr>
        <w:numPr>
          <w:ilvl w:val="0"/>
          <w:numId w:val="10"/>
        </w:numPr>
        <w:ind w:left="1440" w:firstLine="5"/>
        <w:pageBreakBefore w:val="0"/>
        <w:spacing w:line="341" w:lineRule="auto"/>
        <w:widowControl w:val="off"/>
        <w:tabs>
          <w:tab w:val="left" w:pos="1980" w:leader="none"/>
          <w:tab w:val="left" w:pos="2520" w:leader="none"/>
        </w:tabs>
        <w:rPr>
          <w:rFonts w:hint="eastAsia" w:ascii="宋体" w:hAnsi="宋体" w:cs="宋体"/>
          <w:szCs w:val="21"/>
        </w:rPr>
      </w:pPr>
      <w:r>
        <w:rPr>
          <w:rFonts w:hint="eastAsia" w:ascii="宋体" w:hAnsi="宋体" w:cs="宋体"/>
          <w:szCs w:val="21"/>
        </w:rPr>
        <w:t xml:space="preserve">合同草案条款</w:t>
      </w:r>
      <w:r/>
    </w:p>
    <w:p>
      <w:pPr>
        <w:numPr>
          <w:ilvl w:val="0"/>
          <w:numId w:val="10"/>
        </w:numPr>
        <w:ind w:left="1440" w:firstLine="5"/>
        <w:pageBreakBefore w:val="0"/>
        <w:spacing w:line="341" w:lineRule="auto"/>
        <w:widowControl w:val="off"/>
        <w:tabs>
          <w:tab w:val="left" w:pos="1980" w:leader="none"/>
          <w:tab w:val="left" w:pos="2520" w:leader="none"/>
        </w:tabs>
        <w:rPr>
          <w:rFonts w:hint="eastAsia" w:ascii="宋体" w:hAnsi="宋体" w:cs="宋体"/>
          <w:szCs w:val="21"/>
        </w:rPr>
      </w:pPr>
      <w:r>
        <w:rPr>
          <w:rFonts w:hint="eastAsia" w:ascii="宋体" w:hAnsi="宋体" w:cs="宋体"/>
          <w:szCs w:val="21"/>
        </w:rPr>
        <w:t xml:space="preserve">响应文件格式</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pageBreakBefore w:val="0"/>
        <w:spacing w:line="341" w:lineRule="auto"/>
        <w:widowControl w:val="off"/>
        <w:tabs>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对竞争性磋商文件的澄清或修改</w:t>
      </w:r>
      <w:r/>
    </w:p>
    <w:p>
      <w:pPr>
        <w:numPr>
          <w:ilvl w:val="1"/>
          <w:numId w:val="9"/>
        </w:numPr>
        <w:ind w:left="1080" w:hanging="720"/>
        <w:pageBreakBefore w:val="0"/>
        <w:spacing w:line="341" w:lineRule="auto"/>
        <w:widowControl w:val="off"/>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9"/>
        </w:numPr>
        <w:ind w:left="1080" w:hanging="720"/>
        <w:pageBreakBefore w:val="0"/>
        <w:spacing w:line="341" w:lineRule="auto"/>
        <w:widowControl w:val="off"/>
        <w:tabs>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pageBreakBefore w:val="0"/>
        <w:spacing w:line="341" w:lineRule="auto"/>
        <w:widowControl w:val="off"/>
        <w:tabs>
          <w:tab w:val="left" w:pos="1080" w:leader="none"/>
          <w:tab w:val="left" w:pos="1561" w:leader="none"/>
        </w:tabs>
        <w:rPr>
          <w:sz w:val="28"/>
        </w:rPr>
      </w:pPr>
      <w:r/>
      <w:bookmarkStart w:id="169" w:name="_Toc516367020"/>
      <w:r/>
      <w:bookmarkStart w:id="170" w:name="_Toc265228364"/>
      <w:r/>
      <w:bookmarkStart w:id="171" w:name="_Toc195842891"/>
      <w:r/>
      <w:bookmarkStart w:id="172" w:name="_Toc520356150"/>
      <w:r/>
      <w:bookmarkStart w:id="173" w:name="_Toc151193624"/>
      <w:r/>
      <w:bookmarkStart w:id="174" w:name="_Toc151193914"/>
      <w:r/>
      <w:bookmarkStart w:id="175" w:name="_Toc305158868"/>
      <w:r/>
      <w:bookmarkStart w:id="176" w:name="_Toc305158794"/>
      <w:r/>
      <w:bookmarkStart w:id="177" w:name="_Toc264969216"/>
      <w:r/>
      <w:bookmarkStart w:id="178" w:name="_Toc151190153"/>
      <w:r/>
      <w:bookmarkStart w:id="179" w:name="_Toc150480764"/>
      <w:r/>
      <w:bookmarkStart w:id="180" w:name="_Toc150774731"/>
      <w:r/>
      <w:bookmarkStart w:id="181" w:name="_Toc151193768"/>
      <w:r/>
      <w:bookmarkStart w:id="182" w:name="_Toc226337222"/>
      <w:r/>
      <w:bookmarkStart w:id="183" w:name="_Toc150509277"/>
      <w:r/>
      <w:bookmarkStart w:id="184" w:name="_Toc151193696"/>
      <w:r/>
      <w:bookmarkStart w:id="185" w:name="_Toc226965716"/>
      <w:r/>
      <w:bookmarkStart w:id="186" w:name="_Toc142311028"/>
      <w:r/>
      <w:bookmarkStart w:id="187" w:name="_Toc127151526"/>
      <w:r/>
      <w:bookmarkStart w:id="188" w:name="_Toc150774626"/>
      <w:r/>
      <w:bookmarkStart w:id="189" w:name="_Toc151193840"/>
      <w:r/>
      <w:bookmarkStart w:id="190" w:name="_Toc226965799"/>
      <w:r/>
      <w:bookmarkStart w:id="191" w:name="_Toc226309770"/>
      <w:r/>
      <w:r/>
    </w:p>
    <w:p>
      <w:pPr>
        <w:pStyle w:val="804"/>
        <w:pageBreakBefore w:val="0"/>
        <w:spacing w:before="0" w:line="341" w:lineRule="auto"/>
        <w:widowControl w:val="off"/>
        <w:rPr>
          <w:rFonts w:ascii="Times New Roman" w:hAnsi="Times New Roman" w:eastAsia="宋体"/>
          <w:sz w:val="28"/>
        </w:rPr>
      </w:pPr>
      <w:r>
        <w:rPr>
          <w:rFonts w:ascii="Times New Roman" w:hAnsi="Times New Roman" w:eastAsia="宋体"/>
          <w:sz w:val="28"/>
        </w:rPr>
        <w:t xml:space="preserve">三</w:t>
      </w:r>
      <w:r>
        <w:rPr>
          <w:rFonts w:hint="eastAsia" w:ascii="Times New Roman" w:hAnsi="Times New Roman" w:eastAsia="宋体"/>
          <w:sz w:val="28"/>
        </w:rPr>
        <w:t xml:space="preserve">、</w:t>
      </w:r>
      <w:r>
        <w:rPr>
          <w:rFonts w:ascii="Times New Roman" w:hAnsi="Times New Roman" w:eastAsia="宋体"/>
          <w:sz w:val="28"/>
        </w:rPr>
        <w:t xml:space="preserve">响应文件</w:t>
      </w:r>
      <w:bookmarkEnd w:id="169"/>
      <w:r>
        <w:rPr>
          <w:rFonts w:ascii="Times New Roman" w:hAnsi="Times New Roman" w:eastAsia="宋体"/>
          <w:sz w:val="28"/>
        </w:rPr>
        <w:t xml:space="preserve">的编制</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192" w:name="_Toc164229222"/>
      <w:r/>
      <w:bookmarkStart w:id="193" w:name="_Toc142311029"/>
      <w:r/>
      <w:bookmarkStart w:id="194" w:name="_Toc151193769"/>
      <w:r/>
      <w:bookmarkStart w:id="195" w:name="_Toc149720820"/>
      <w:r/>
      <w:bookmarkStart w:id="196" w:name="_Toc305158869"/>
      <w:r/>
      <w:bookmarkStart w:id="197" w:name="_Toc164229368"/>
      <w:r/>
      <w:bookmarkStart w:id="198" w:name="_Toc195842892"/>
      <w:r/>
      <w:bookmarkStart w:id="199" w:name="_Toc151193915"/>
      <w:r/>
      <w:bookmarkStart w:id="200" w:name="_Toc164608641"/>
      <w:r/>
      <w:bookmarkStart w:id="201" w:name="_Toc150509278"/>
      <w:r/>
      <w:bookmarkStart w:id="202" w:name="_Toc151190154"/>
      <w:r/>
      <w:bookmarkStart w:id="203" w:name="_Toc226965800"/>
      <w:r/>
      <w:bookmarkStart w:id="204" w:name="_Toc164608796"/>
      <w:r/>
      <w:bookmarkStart w:id="205" w:name="_Toc305158795"/>
      <w:r/>
      <w:bookmarkStart w:id="206" w:name="_Toc151193625"/>
      <w:r/>
      <w:bookmarkStart w:id="207" w:name="_Toc127151728"/>
      <w:r/>
      <w:bookmarkStart w:id="208" w:name="_Toc264969217"/>
      <w:r/>
      <w:bookmarkStart w:id="209" w:name="_Toc151193841"/>
      <w:r/>
      <w:bookmarkStart w:id="210" w:name="_Toc520356151"/>
      <w:r/>
      <w:bookmarkStart w:id="211" w:name="_Toc150774732"/>
      <w:r/>
      <w:bookmarkStart w:id="212" w:name="_Toc164351621"/>
      <w:r/>
      <w:bookmarkStart w:id="213" w:name="_Toc226309771"/>
      <w:r/>
      <w:bookmarkStart w:id="214" w:name="_Toc226337223"/>
      <w:r/>
      <w:bookmarkStart w:id="215" w:name="_Toc127161441"/>
      <w:r/>
      <w:bookmarkStart w:id="216" w:name="_Toc150480765"/>
      <w:r/>
      <w:bookmarkStart w:id="217" w:name="_Toc150774627"/>
      <w:r/>
      <w:bookmarkStart w:id="218" w:name="_Toc151193697"/>
      <w:r/>
      <w:bookmarkStart w:id="219" w:name="_Toc516367021"/>
      <w:r/>
      <w:bookmarkStart w:id="220" w:name="_Toc226965717"/>
      <w:r/>
      <w:bookmarkStart w:id="221" w:name="_Toc127151527"/>
      <w:r/>
      <w:bookmarkStart w:id="222" w:name="_Toc265228365"/>
      <w:r>
        <w:rPr>
          <w:rFonts w:hint="eastAsia" w:ascii="宋体" w:hAnsi="宋体" w:cs="宋体"/>
          <w:szCs w:val="21"/>
        </w:rPr>
        <w:t xml:space="preserve">响应范围、竞争性磋商文件中计量单位的使用</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cs="宋体"/>
          <w:szCs w:val="21"/>
        </w:rPr>
        <w:t xml:space="preserve">及磋商语言</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223" w:name="_Ref467306676"/>
      <w:r/>
      <w:bookmarkStart w:id="224" w:name="_Toc516367022"/>
      <w:r/>
      <w:bookmarkStart w:id="225" w:name="_Ref467306195"/>
      <w:r/>
      <w:bookmarkStart w:id="226" w:name="_Toc226965718"/>
      <w:r/>
      <w:bookmarkStart w:id="227" w:name="_Toc164608797"/>
      <w:r/>
      <w:bookmarkStart w:id="228" w:name="_Toc150480766"/>
      <w:r/>
      <w:bookmarkStart w:id="229" w:name="_Toc265228366"/>
      <w:r/>
      <w:bookmarkStart w:id="230" w:name="_Toc305158870"/>
      <w:r/>
      <w:bookmarkStart w:id="231" w:name="_Toc151190155"/>
      <w:r/>
      <w:bookmarkStart w:id="232" w:name="_Toc149720821"/>
      <w:r/>
      <w:bookmarkStart w:id="233" w:name="_Toc151193626"/>
      <w:r/>
      <w:bookmarkStart w:id="234" w:name="_Toc226309772"/>
      <w:r/>
      <w:bookmarkStart w:id="235" w:name="_Toc195842893"/>
      <w:r/>
      <w:bookmarkStart w:id="236" w:name="_Toc127151528"/>
      <w:r/>
      <w:bookmarkStart w:id="237" w:name="_Toc151193916"/>
      <w:r/>
      <w:bookmarkStart w:id="238" w:name="_Toc150774628"/>
      <w:r/>
      <w:bookmarkStart w:id="239" w:name="_Toc127161442"/>
      <w:r/>
      <w:bookmarkStart w:id="240" w:name="_Toc164608642"/>
      <w:r/>
      <w:bookmarkStart w:id="241" w:name="_Toc151193698"/>
      <w:r/>
      <w:bookmarkStart w:id="242" w:name="_Toc226965801"/>
      <w:r/>
      <w:bookmarkStart w:id="243" w:name="_Toc150509279"/>
      <w:r/>
      <w:bookmarkStart w:id="244" w:name="_Toc150774733"/>
      <w:r/>
      <w:bookmarkStart w:id="245" w:name="_Toc164351622"/>
      <w:r/>
      <w:bookmarkStart w:id="246" w:name="_Toc151193770"/>
      <w:r/>
      <w:bookmarkStart w:id="247" w:name="_Toc142311030"/>
      <w:r/>
      <w:bookmarkStart w:id="248" w:name="_Toc164229369"/>
      <w:r/>
      <w:bookmarkStart w:id="249" w:name="_Toc127151729"/>
      <w:r/>
      <w:bookmarkStart w:id="250" w:name="_Toc264969218"/>
      <w:r/>
      <w:bookmarkStart w:id="251" w:name="_Toc226337224"/>
      <w:r/>
      <w:bookmarkStart w:id="252" w:name="_Toc520356152"/>
      <w:r/>
      <w:bookmarkStart w:id="253" w:name="_Toc151193842"/>
      <w:r/>
      <w:bookmarkStart w:id="254" w:name="_Toc305158796"/>
      <w:r/>
      <w:bookmarkStart w:id="255" w:name="_Toc164229223"/>
      <w:r>
        <w:rPr>
          <w:rFonts w:hint="eastAsia" w:ascii="宋体" w:hAnsi="宋体" w:cs="宋体"/>
          <w:szCs w:val="21"/>
        </w:rPr>
        <w:t xml:space="preserve">响应文件</w:t>
      </w:r>
      <w:bookmarkEnd w:id="223"/>
      <w:r/>
      <w:bookmarkEnd w:id="224"/>
      <w:r/>
      <w:bookmarkEnd w:id="225"/>
      <w:r>
        <w:rPr>
          <w:rFonts w:hint="eastAsia" w:ascii="宋体" w:hAnsi="宋体" w:cs="宋体"/>
          <w:szCs w:val="21"/>
        </w:rPr>
        <w:t xml:space="preserve">构成</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bookmarkStart w:id="256"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第三章《评审方法和评审标准》中涉及的证明文件。</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供应商认为应附的其他材料。</w:t>
      </w:r>
      <w:bookmarkEnd w:id="256"/>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257" w:name="_Toc151193772"/>
      <w:r/>
      <w:bookmarkStart w:id="258" w:name="_Toc127151530"/>
      <w:r/>
      <w:bookmarkStart w:id="259" w:name="_Toc151193700"/>
      <w:r/>
      <w:bookmarkStart w:id="260" w:name="_Toc127151731"/>
      <w:r/>
      <w:bookmarkStart w:id="261" w:name="_Toc164351624"/>
      <w:r/>
      <w:bookmarkStart w:id="262" w:name="_Toc195842895"/>
      <w:r/>
      <w:bookmarkStart w:id="263" w:name="_Toc150774735"/>
      <w:r/>
      <w:bookmarkStart w:id="264" w:name="_Toc150509281"/>
      <w:r/>
      <w:bookmarkStart w:id="265" w:name="_Toc142311032"/>
      <w:r/>
      <w:bookmarkStart w:id="266" w:name="_Toc149720823"/>
      <w:r/>
      <w:bookmarkStart w:id="267" w:name="_Toc151193844"/>
      <w:r/>
      <w:bookmarkStart w:id="268" w:name="_Toc150774630"/>
      <w:r/>
      <w:bookmarkStart w:id="269" w:name="_Toc151190157"/>
      <w:r/>
      <w:bookmarkStart w:id="270" w:name="_Toc127161444"/>
      <w:r/>
      <w:bookmarkStart w:id="271" w:name="_Toc151193628"/>
      <w:r/>
      <w:bookmarkStart w:id="272" w:name="_Toc164229225"/>
      <w:r/>
      <w:bookmarkStart w:id="273" w:name="_Toc150480768"/>
      <w:r/>
      <w:bookmarkStart w:id="274" w:name="_Toc164229371"/>
      <w:r/>
      <w:bookmarkStart w:id="275" w:name="_Toc151193918"/>
      <w:r/>
      <w:bookmarkStart w:id="276" w:name="_Toc164608799"/>
      <w:r/>
      <w:bookmarkStart w:id="277" w:name="_Toc164608644"/>
      <w:r/>
      <w:bookmarkStart w:id="278" w:name="_Toc520356155"/>
      <w:r>
        <w:rPr>
          <w:rFonts w:hint="eastAsia" w:ascii="宋体" w:hAnsi="宋体" w:cs="宋体"/>
          <w:szCs w:val="21"/>
        </w:rPr>
        <w:t xml:space="preserve">报价</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所有响应均以人民币报价。</w:t>
      </w:r>
      <w:r/>
    </w:p>
    <w:p>
      <w:pPr>
        <w:numPr>
          <w:ilvl w:val="1"/>
          <w:numId w:val="9"/>
        </w:numPr>
        <w:pageBreakBefore w:val="0"/>
        <w:spacing w:line="341" w:lineRule="auto"/>
        <w:widowControl w:val="off"/>
        <w:tabs>
          <w:tab w:val="left" w:pos="1080" w:leader="none"/>
        </w:tabs>
        <w:rPr>
          <w:rFonts w:hint="eastAsia"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按照竞争性磋商文件要求完成本项目的全部相关工程或服务费用。</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b/>
          <w:bCs/>
          <w:szCs w:val="21"/>
        </w:rPr>
      </w:pPr>
      <w:r>
        <w:rPr>
          <w:rFonts w:hint="eastAsia" w:ascii="宋体" w:hAnsi="宋体" w:cs="宋体"/>
          <w:b/>
          <w:bCs/>
          <w:szCs w:val="21"/>
        </w:rPr>
        <w:t xml:space="preserve">评审委员会启动异常低价投标（响应）审查的情形和具体要求，包括：</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hint="eastAsia" w:ascii="宋体" w:hAnsi="宋体" w:cs="宋体"/>
          <w:szCs w:val="21"/>
        </w:rPr>
        <w:t xml:space="preserve">：</w:t>
      </w:r>
      <w:r/>
    </w:p>
    <w:p>
      <w:pPr>
        <w:ind w:left="2520" w:hanging="1050"/>
        <w:pageBreakBefore w:val="0"/>
        <w:spacing w:line="341" w:lineRule="auto"/>
        <w:widowControl w:val="off"/>
        <w:rPr>
          <w:rFonts w:hint="eastAsia" w:ascii="宋体" w:hAnsi="宋体" w:cs="宋体"/>
          <w:szCs w:val="21"/>
        </w:rPr>
      </w:pPr>
      <w:r>
        <w:rPr>
          <w:rFonts w:hint="eastAsia" w:ascii="宋体" w:hAnsi="宋体" w:cs="宋体"/>
          <w:szCs w:val="21"/>
        </w:rPr>
        <w:t xml:space="preserve">10.5.1.1  </w:t>
      </w:r>
      <w:r>
        <w:rPr>
          <w:rFonts w:ascii="宋体" w:hAnsi="宋体" w:cs="宋体"/>
          <w:szCs w:val="21"/>
        </w:rPr>
        <w:t xml:space="preserve">投标（响应）报价低于采购项目预算50%的，即投标（响应）报价&lt;采购项目预算×50%； </w:t>
      </w:r>
      <w:r/>
    </w:p>
    <w:p>
      <w:pPr>
        <w:ind w:left="2520" w:hanging="2520"/>
        <w:pageBreakBefore w:val="0"/>
        <w:spacing w:line="341" w:lineRule="auto"/>
        <w:widowControl w:val="off"/>
        <w:rPr>
          <w:rFonts w:hint="eastAsia" w:ascii="宋体" w:hAnsi="宋体" w:cs="宋体"/>
          <w:szCs w:val="21"/>
        </w:rPr>
      </w:pPr>
      <w:r>
        <w:rPr>
          <w:rFonts w:hint="eastAsia" w:ascii="宋体" w:hAnsi="宋体" w:cs="宋体"/>
          <w:szCs w:val="21"/>
        </w:rPr>
        <w:t xml:space="preserve">              10.5.1.2  </w:t>
      </w:r>
      <w:r>
        <w:rPr>
          <w:rFonts w:ascii="宋体" w:hAnsi="宋体" w:cs="宋体"/>
          <w:szCs w:val="21"/>
        </w:rPr>
        <w:t xml:space="preserve">投标（响应）报价低于采购项目最高限价45%的，即投标（响应）报价&lt;采购项目最高限价×45% ； </w:t>
      </w:r>
      <w:r/>
    </w:p>
    <w:p>
      <w:pPr>
        <w:ind w:left="2520" w:hanging="1050"/>
        <w:pageBreakBefore w:val="0"/>
        <w:spacing w:line="341" w:lineRule="auto"/>
        <w:widowControl w:val="off"/>
        <w:rPr>
          <w:rFonts w:hint="eastAsia" w:ascii="宋体" w:hAnsi="宋体" w:cs="宋体"/>
          <w:szCs w:val="21"/>
        </w:rPr>
      </w:pPr>
      <w:r>
        <w:rPr>
          <w:rFonts w:hint="eastAsia" w:ascii="宋体" w:hAnsi="宋体" w:cs="宋体"/>
          <w:szCs w:val="21"/>
        </w:rPr>
        <w:t xml:space="preserve">10.5.1.3  </w:t>
      </w:r>
      <w:r>
        <w:rPr>
          <w:rFonts w:ascii="宋体" w:hAnsi="宋体" w:cs="宋体"/>
          <w:szCs w:val="21"/>
        </w:rPr>
        <w:t xml:space="preserve">评审委员会认定的供应商报价过低、有可能影响产品质量或者不能诚信履约的其他情形。 </w:t>
      </w:r>
      <w:r/>
    </w:p>
    <w:p>
      <w:pPr>
        <w:numPr>
          <w:ilvl w:val="2"/>
          <w:numId w:val="9"/>
        </w:numPr>
        <w:pageBreakBefore w:val="0"/>
        <w:spacing w:line="341" w:lineRule="auto"/>
        <w:widowControl w:val="off"/>
        <w:rPr>
          <w:rFonts w:hint="eastAsia" w:ascii="宋体" w:hAnsi="宋体" w:cs="宋体"/>
          <w:szCs w:val="21"/>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磋商保证金</w:t>
      </w:r>
      <w:r/>
    </w:p>
    <w:p>
      <w:pPr>
        <w:ind w:firstLine="315"/>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根据江苏省和常州市的相关文件规定，免收保证金。</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响应有效期</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279" w:name="_Toc151193775"/>
      <w:r/>
      <w:bookmarkStart w:id="280" w:name="_Toc264969223"/>
      <w:r/>
      <w:bookmarkStart w:id="281" w:name="_Toc164229228"/>
      <w:r/>
      <w:bookmarkStart w:id="282" w:name="_Toc127151734"/>
      <w:r/>
      <w:bookmarkStart w:id="283" w:name="_Toc520356158"/>
      <w:r/>
      <w:bookmarkStart w:id="284" w:name="_Toc151193921"/>
      <w:r/>
      <w:bookmarkStart w:id="285" w:name="_Toc226965806"/>
      <w:r/>
      <w:bookmarkStart w:id="286" w:name="_Toc151193703"/>
      <w:r/>
      <w:bookmarkStart w:id="287" w:name="_Toc226337229"/>
      <w:r/>
      <w:bookmarkStart w:id="288" w:name="_Toc150774633"/>
      <w:r/>
      <w:bookmarkStart w:id="289" w:name="_Toc150509284"/>
      <w:r/>
      <w:bookmarkStart w:id="290" w:name="_Toc265228371"/>
      <w:r/>
      <w:bookmarkStart w:id="291" w:name="_Toc164351627"/>
      <w:r/>
      <w:bookmarkStart w:id="292" w:name="_Toc305158875"/>
      <w:r/>
      <w:bookmarkStart w:id="293" w:name="_Toc164608802"/>
      <w:r/>
      <w:bookmarkStart w:id="294" w:name="_Toc226309777"/>
      <w:r/>
      <w:bookmarkStart w:id="295" w:name="_Toc305158801"/>
      <w:r/>
      <w:bookmarkStart w:id="296" w:name="_Toc164229374"/>
      <w:r/>
      <w:bookmarkStart w:id="297" w:name="_Toc142311035"/>
      <w:r/>
      <w:bookmarkStart w:id="298" w:name="_Toc150774738"/>
      <w:r/>
      <w:bookmarkStart w:id="299" w:name="_Toc151190160"/>
      <w:r/>
      <w:bookmarkStart w:id="300" w:name="_Toc127161447"/>
      <w:r/>
      <w:bookmarkStart w:id="301" w:name="_Toc149720826"/>
      <w:r/>
      <w:bookmarkStart w:id="302" w:name="_Toc151193847"/>
      <w:r/>
      <w:bookmarkStart w:id="303" w:name="_Toc150480771"/>
      <w:r/>
      <w:bookmarkStart w:id="304" w:name="_Toc226965723"/>
      <w:r/>
      <w:bookmarkStart w:id="305" w:name="_Toc164608647"/>
      <w:r/>
      <w:bookmarkStart w:id="306" w:name="_Toc127151533"/>
      <w:r/>
      <w:bookmarkStart w:id="307" w:name="_Toc195842898"/>
      <w:r/>
      <w:bookmarkStart w:id="308" w:name="_Toc151193631"/>
      <w:r>
        <w:rPr>
          <w:rFonts w:hint="eastAsia" w:ascii="宋体" w:hAnsi="宋体" w:cs="宋体"/>
          <w:szCs w:val="21"/>
        </w:rPr>
        <w:t xml:space="preserve">响应文件的份数、签署</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s="宋体"/>
          <w:szCs w:val="21"/>
        </w:rPr>
        <w:t xml:space="preserve">、盖章</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bookmarkStart w:id="309" w:name="_Toc151193776"/>
      <w:r/>
      <w:bookmarkStart w:id="310" w:name="_Toc305158876"/>
      <w:r/>
      <w:bookmarkStart w:id="311" w:name="_Toc151193704"/>
      <w:r/>
      <w:bookmarkStart w:id="312" w:name="_Toc195842899"/>
      <w:r/>
      <w:bookmarkStart w:id="313" w:name="_Toc127151534"/>
      <w:r/>
      <w:bookmarkStart w:id="314" w:name="_Toc151193848"/>
      <w:r/>
      <w:bookmarkStart w:id="315" w:name="_Toc226965807"/>
      <w:r/>
      <w:bookmarkStart w:id="316" w:name="_Toc151193632"/>
      <w:r/>
      <w:bookmarkStart w:id="317" w:name="_Toc305158802"/>
      <w:r/>
      <w:bookmarkStart w:id="318" w:name="_Toc150774634"/>
      <w:r/>
      <w:bookmarkStart w:id="319" w:name="_Toc151193922"/>
      <w:r/>
      <w:bookmarkStart w:id="320" w:name="_Toc150509285"/>
      <w:r/>
      <w:bookmarkStart w:id="321" w:name="_Toc226965724"/>
      <w:r/>
      <w:bookmarkStart w:id="322" w:name="_Toc264969224"/>
      <w:r/>
      <w:bookmarkStart w:id="323" w:name="_Toc150774739"/>
      <w:r/>
      <w:bookmarkStart w:id="324" w:name="_Toc226337230"/>
      <w:r/>
      <w:bookmarkStart w:id="325" w:name="_Toc151190161"/>
      <w:r/>
      <w:bookmarkStart w:id="326" w:name="_Toc265228372"/>
      <w:r/>
      <w:bookmarkStart w:id="327" w:name="_Toc142311036"/>
      <w:r/>
      <w:bookmarkStart w:id="328" w:name="_Toc226309778"/>
      <w:r/>
      <w:bookmarkStart w:id="329" w:name="_Toc150480772"/>
      <w:r/>
      <w:bookmarkStart w:id="330" w:name="_Toc520356159"/>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9"/>
        </w:numPr>
        <w:ind w:left="1077" w:hanging="720"/>
        <w:pageBreakBefore w:val="0"/>
        <w:spacing w:line="341" w:lineRule="auto"/>
        <w:widowControl w:val="off"/>
        <w:tabs>
          <w:tab w:val="left" w:pos="1080" w:leader="none"/>
          <w:tab w:val="left" w:pos="2014" w:leader="none"/>
        </w:tabs>
        <w:rPr>
          <w:sz w:val="24"/>
        </w:rPr>
      </w:pPr>
      <w:r>
        <w:rPr>
          <w:rFonts w:hint="eastAsia" w:ascii="宋体" w:hAnsi="宋体" w:cs="宋体"/>
          <w:szCs w:val="21"/>
        </w:rPr>
        <w:t xml:space="preserve">竞争性磋商文件要求盖章的内容，一般通过响应文件编制工具加盖电子签章。</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left="357"/>
        <w:pageBreakBefore w:val="0"/>
        <w:spacing w:line="341" w:lineRule="auto"/>
        <w:widowControl w:val="off"/>
        <w:tabs>
          <w:tab w:val="left" w:pos="900" w:leader="none"/>
          <w:tab w:val="left" w:pos="1080" w:leader="none"/>
        </w:tabs>
      </w:pPr>
      <w:r/>
      <w:r/>
    </w:p>
    <w:p>
      <w:pPr>
        <w:pStyle w:val="804"/>
        <w:pageBreakBefore w:val="0"/>
        <w:spacing w:before="0" w:line="341" w:lineRule="auto"/>
        <w:widowControl w:val="off"/>
        <w:rPr>
          <w:rFonts w:ascii="Times New Roman" w:hAnsi="Times New Roman" w:eastAsia="宋体"/>
          <w:sz w:val="28"/>
        </w:rPr>
      </w:pPr>
      <w:r/>
      <w:bookmarkStart w:id="331" w:name="_Toc520356169"/>
      <w:r>
        <w:rPr>
          <w:rFonts w:ascii="Times New Roman" w:hAnsi="Times New Roman" w:eastAsia="宋体"/>
          <w:sz w:val="28"/>
        </w:rPr>
        <w:t xml:space="preserve">四</w:t>
      </w:r>
      <w:r>
        <w:rPr>
          <w:rFonts w:hint="eastAsia" w:ascii="Times New Roman" w:hAnsi="Times New Roman" w:eastAsia="宋体"/>
          <w:sz w:val="28"/>
        </w:rPr>
        <w:t xml:space="preserve">、</w:t>
      </w:r>
      <w:r>
        <w:rPr>
          <w:rFonts w:ascii="Times New Roman" w:hAnsi="Times New Roman" w:eastAsia="宋体"/>
          <w:sz w:val="28"/>
        </w:rPr>
        <w:t xml:space="preserve">响应文件的提交</w:t>
      </w:r>
      <w:r/>
    </w:p>
    <w:p>
      <w:pPr>
        <w:numPr>
          <w:ilvl w:val="0"/>
          <w:numId w:val="9"/>
        </w:numPr>
        <w:ind w:left="357" w:hanging="357"/>
        <w:pageBreakBefore w:val="0"/>
        <w:spacing w:line="341" w:lineRule="auto"/>
        <w:widowControl w:val="off"/>
        <w:tabs>
          <w:tab w:val="left" w:pos="360" w:leader="none"/>
        </w:tabs>
        <w:rPr>
          <w:rFonts w:hint="eastAsia" w:ascii="宋体" w:hAnsi="宋体"/>
          <w:spacing w:val="2"/>
          <w:szCs w:val="21"/>
        </w:rPr>
        <w:outlineLvl w:val="1"/>
      </w:pPr>
      <w:r/>
      <w:bookmarkStart w:id="332" w:name="_Toc150509286"/>
      <w:r/>
      <w:bookmarkStart w:id="333" w:name="_Toc151193849"/>
      <w:r/>
      <w:bookmarkStart w:id="334" w:name="_Toc149720828"/>
      <w:r/>
      <w:bookmarkStart w:id="335" w:name="_Toc164608649"/>
      <w:r/>
      <w:bookmarkStart w:id="336" w:name="_Toc151193633"/>
      <w:r/>
      <w:bookmarkStart w:id="337" w:name="_Toc127151736"/>
      <w:r/>
      <w:bookmarkStart w:id="338" w:name="_Toc195842900"/>
      <w:r/>
      <w:bookmarkStart w:id="339" w:name="_Toc265228373"/>
      <w:r/>
      <w:bookmarkStart w:id="340" w:name="_Toc226309779"/>
      <w:r/>
      <w:bookmarkStart w:id="341" w:name="_Toc305158877"/>
      <w:r/>
      <w:bookmarkStart w:id="342" w:name="_Toc226965808"/>
      <w:r/>
      <w:bookmarkStart w:id="343" w:name="_Toc264969225"/>
      <w:r/>
      <w:bookmarkStart w:id="344" w:name="_Toc151193777"/>
      <w:r/>
      <w:bookmarkStart w:id="345" w:name="_Toc127151535"/>
      <w:r/>
      <w:bookmarkStart w:id="346" w:name="_Toc151193705"/>
      <w:r/>
      <w:bookmarkStart w:id="347" w:name="_Toc164229376"/>
      <w:r/>
      <w:bookmarkStart w:id="348" w:name="_Toc164608804"/>
      <w:r/>
      <w:bookmarkStart w:id="349" w:name="_Toc142311037"/>
      <w:r/>
      <w:bookmarkStart w:id="350" w:name="_Toc151190162"/>
      <w:r/>
      <w:bookmarkStart w:id="351" w:name="_Toc305158803"/>
      <w:r/>
      <w:bookmarkStart w:id="352" w:name="_Toc226337231"/>
      <w:r/>
      <w:bookmarkStart w:id="353" w:name="_Toc164229230"/>
      <w:r/>
      <w:bookmarkStart w:id="354" w:name="_Toc150480773"/>
      <w:r/>
      <w:bookmarkStart w:id="355" w:name="_Toc226965725"/>
      <w:r/>
      <w:bookmarkStart w:id="356" w:name="_Toc150774635"/>
      <w:r/>
      <w:bookmarkStart w:id="357" w:name="_Toc520356160"/>
      <w:r/>
      <w:bookmarkStart w:id="358" w:name="_Toc127161449"/>
      <w:r/>
      <w:bookmarkStart w:id="359" w:name="_Toc164351629"/>
      <w:r/>
      <w:bookmarkStart w:id="360" w:name="_Toc151193923"/>
      <w:r/>
      <w:bookmarkStart w:id="361" w:name="_Toc150774740"/>
      <w:r>
        <w:rPr>
          <w:szCs w:val="21"/>
        </w:rPr>
        <w:t xml:space="preserve">响应文件的</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szCs w:val="21"/>
        </w:rPr>
        <w:t xml:space="preserve">提交</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本项目使用“苏采云”政府采购一体化平台。供应商根据竞争性磋商文件及</w:t>
      </w:r>
      <w:r>
        <w:rPr>
          <w:rFonts w:hint="eastAsia" w:ascii="宋体" w:hAnsi="宋体" w:cs="宋体"/>
          <w:szCs w:val="21"/>
          <w:lang w:bidi="ar"/>
        </w:rPr>
        <w:t xml:space="preserve">“苏采云”政府采购一体化平台</w:t>
      </w:r>
      <w:r>
        <w:rPr>
          <w:rFonts w:hint="eastAsia" w:ascii="宋体" w:hAnsi="宋体" w:cs="宋体"/>
          <w:szCs w:val="21"/>
        </w:rPr>
        <w:t xml:space="preserve">供应商操作手册要求编制、生成并提交电子响应文件。</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p>
    <w:p>
      <w:pPr>
        <w:numPr>
          <w:ilvl w:val="0"/>
          <w:numId w:val="9"/>
        </w:numPr>
        <w:ind w:left="357" w:hanging="357"/>
        <w:pageBreakBefore w:val="0"/>
        <w:spacing w:line="341" w:lineRule="auto"/>
        <w:widowControl w:val="off"/>
        <w:tabs>
          <w:tab w:val="left" w:pos="360" w:leader="none"/>
        </w:tabs>
        <w:rPr>
          <w:szCs w:val="21"/>
        </w:rPr>
        <w:outlineLvl w:val="1"/>
      </w:pPr>
      <w:r/>
      <w:bookmarkStart w:id="362" w:name="_Toc150480774"/>
      <w:r/>
      <w:bookmarkStart w:id="363" w:name="_Toc127151536"/>
      <w:r/>
      <w:bookmarkStart w:id="364" w:name="_Toc151193850"/>
      <w:r/>
      <w:bookmarkStart w:id="365" w:name="_Toc151193778"/>
      <w:r/>
      <w:bookmarkStart w:id="366" w:name="_Toc164229231"/>
      <w:r/>
      <w:bookmarkStart w:id="367" w:name="_Toc305158804"/>
      <w:r/>
      <w:bookmarkStart w:id="368" w:name="_Toc164608650"/>
      <w:r/>
      <w:bookmarkStart w:id="369" w:name="_Toc226965809"/>
      <w:r/>
      <w:bookmarkStart w:id="370" w:name="_Toc164229377"/>
      <w:r/>
      <w:bookmarkStart w:id="371" w:name="_Toc150774636"/>
      <w:r/>
      <w:bookmarkStart w:id="372" w:name="_Toc264969226"/>
      <w:r/>
      <w:bookmarkStart w:id="373" w:name="_Toc195842901"/>
      <w:r/>
      <w:bookmarkStart w:id="374" w:name="_Toc226337232"/>
      <w:r/>
      <w:bookmarkStart w:id="375" w:name="_Toc149720829"/>
      <w:r/>
      <w:bookmarkStart w:id="376" w:name="_Toc226309780"/>
      <w:r/>
      <w:bookmarkStart w:id="377" w:name="_Toc164351630"/>
      <w:r/>
      <w:bookmarkStart w:id="378" w:name="_Toc305158878"/>
      <w:r/>
      <w:bookmarkStart w:id="379" w:name="_Toc226965726"/>
      <w:r/>
      <w:bookmarkStart w:id="380" w:name="_Toc127151737"/>
      <w:r/>
      <w:bookmarkStart w:id="381" w:name="_Toc151193924"/>
      <w:r/>
      <w:bookmarkStart w:id="382" w:name="_Toc127161450"/>
      <w:r/>
      <w:bookmarkStart w:id="383" w:name="_Toc151190163"/>
      <w:r/>
      <w:bookmarkStart w:id="384" w:name="_Toc265228374"/>
      <w:r/>
      <w:bookmarkStart w:id="385" w:name="_Toc151193706"/>
      <w:r/>
      <w:bookmarkStart w:id="386" w:name="_Toc150509287"/>
      <w:r/>
      <w:bookmarkStart w:id="387" w:name="_Toc151193634"/>
      <w:r/>
      <w:bookmarkStart w:id="388" w:name="_Toc142311038"/>
      <w:r/>
      <w:bookmarkStart w:id="389" w:name="_Toc520356161"/>
      <w:r/>
      <w:bookmarkStart w:id="390" w:name="_Toc150774741"/>
      <w:r/>
      <w:bookmarkStart w:id="391" w:name="_Toc164608805"/>
      <w:r>
        <w:rPr>
          <w:rFonts w:hint="eastAsia"/>
          <w:szCs w:val="21"/>
        </w:rPr>
        <w:t xml:space="preserve">响应文件截止</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szCs w:val="21"/>
        </w:rPr>
        <w:t xml:space="preserve">时间</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供应商应在竞争性磋商文件要求提交响应文件截止时间前，通过</w:t>
      </w:r>
      <w:r>
        <w:rPr>
          <w:rFonts w:hint="eastAsia" w:ascii="宋体" w:hAnsi="宋体" w:cs="宋体"/>
          <w:szCs w:val="21"/>
          <w:lang w:bidi="ar"/>
        </w:rPr>
        <w:t xml:space="preserve">“苏采云”政府采购一体化平台</w:t>
      </w:r>
      <w:r>
        <w:rPr>
          <w:rFonts w:hint="eastAsia" w:ascii="宋体" w:hAnsi="宋体" w:cs="宋体"/>
          <w:szCs w:val="21"/>
        </w:rPr>
        <w:t xml:space="preserve">提交数据电文形式的投标文件（即电子投标），</w:t>
      </w:r>
      <w:r>
        <w:rPr>
          <w:rFonts w:hint="eastAsia" w:ascii="宋体" w:hAnsi="宋体" w:cs="宋体"/>
          <w:szCs w:val="21"/>
          <w:lang w:bidi="ar"/>
        </w:rPr>
        <w:t xml:space="preserve">“苏采云”政府采购一体化平台</w:t>
      </w:r>
      <w:r>
        <w:rPr>
          <w:rFonts w:hint="eastAsia" w:ascii="宋体" w:hAnsi="宋体" w:cs="宋体"/>
          <w:szCs w:val="21"/>
        </w:rPr>
        <w:t xml:space="preserve">自动接收。</w:t>
      </w:r>
      <w:r/>
    </w:p>
    <w:p>
      <w:pPr>
        <w:numPr>
          <w:ilvl w:val="0"/>
          <w:numId w:val="9"/>
        </w:numPr>
        <w:ind w:left="357" w:hanging="357"/>
        <w:pageBreakBefore w:val="0"/>
        <w:spacing w:line="341" w:lineRule="auto"/>
        <w:widowControl w:val="off"/>
        <w:tabs>
          <w:tab w:val="left" w:pos="360" w:leader="none"/>
        </w:tabs>
        <w:rPr>
          <w:szCs w:val="21"/>
        </w:rPr>
        <w:outlineLvl w:val="1"/>
      </w:pPr>
      <w:r/>
      <w:bookmarkStart w:id="392" w:name="_Toc265228375"/>
      <w:r/>
      <w:bookmarkStart w:id="393" w:name="_Toc226309781"/>
      <w:r/>
      <w:bookmarkStart w:id="394" w:name="_Toc151193779"/>
      <w:r/>
      <w:bookmarkStart w:id="395" w:name="_Toc150509288"/>
      <w:r/>
      <w:bookmarkStart w:id="396" w:name="_Toc151190164"/>
      <w:r/>
      <w:bookmarkStart w:id="397" w:name="_Toc151193635"/>
      <w:r/>
      <w:bookmarkStart w:id="398" w:name="_Toc164608651"/>
      <w:r/>
      <w:bookmarkStart w:id="399" w:name="_Toc226337233"/>
      <w:r/>
      <w:bookmarkStart w:id="400" w:name="_Toc164229232"/>
      <w:r/>
      <w:bookmarkStart w:id="401" w:name="_Toc151193707"/>
      <w:r/>
      <w:bookmarkStart w:id="402" w:name="_Toc164351631"/>
      <w:r/>
      <w:bookmarkStart w:id="403" w:name="_Toc127161451"/>
      <w:r/>
      <w:bookmarkStart w:id="404" w:name="_Toc149720830"/>
      <w:r/>
      <w:bookmarkStart w:id="405" w:name="_Toc151193925"/>
      <w:r/>
      <w:bookmarkStart w:id="406" w:name="_Toc164608806"/>
      <w:r/>
      <w:bookmarkStart w:id="407" w:name="_Toc142311039"/>
      <w:r/>
      <w:bookmarkStart w:id="408" w:name="_Toc226965810"/>
      <w:r/>
      <w:bookmarkStart w:id="409" w:name="_Toc264969227"/>
      <w:r/>
      <w:bookmarkStart w:id="410" w:name="_Toc164229378"/>
      <w:r/>
      <w:bookmarkStart w:id="411" w:name="_Toc150480775"/>
      <w:r/>
      <w:bookmarkStart w:id="412" w:name="_Toc151193851"/>
      <w:r/>
      <w:bookmarkStart w:id="413" w:name="_Toc195842902"/>
      <w:r/>
      <w:bookmarkStart w:id="414" w:name="_Toc226965727"/>
      <w:r/>
      <w:bookmarkStart w:id="415" w:name="_Toc305158879"/>
      <w:r/>
      <w:bookmarkStart w:id="416" w:name="_Toc150774742"/>
      <w:r/>
      <w:bookmarkStart w:id="417" w:name="_Toc127151537"/>
      <w:r/>
      <w:bookmarkStart w:id="418" w:name="_Toc127151738"/>
      <w:r/>
      <w:bookmarkStart w:id="419" w:name="_Toc520356162"/>
      <w:r/>
      <w:bookmarkStart w:id="420" w:name="_Toc305158805"/>
      <w:r/>
      <w:bookmarkStart w:id="421" w:name="_Toc150774637"/>
      <w:r>
        <w:rPr>
          <w:rFonts w:hint="eastAsia"/>
          <w:szCs w:val="21"/>
        </w:rPr>
        <w:t xml:space="preserve">响应文件的修改与撤回</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pageBreakBefore w:val="0"/>
        <w:spacing w:line="341" w:lineRule="auto"/>
        <w:widowControl w:val="off"/>
        <w:tabs>
          <w:tab w:val="left" w:pos="900" w:leader="none"/>
          <w:tab w:val="left" w:pos="1080" w:leader="none"/>
          <w:tab w:val="left" w:pos="1589" w:leader="none"/>
        </w:tabs>
        <w:rPr>
          <w:szCs w:val="21"/>
        </w:rPr>
      </w:pPr>
      <w:r>
        <w:rPr>
          <w:szCs w:val="21"/>
        </w:rPr>
      </w:r>
      <w:r/>
    </w:p>
    <w:p>
      <w:pPr>
        <w:pStyle w:val="804"/>
        <w:pageBreakBefore w:val="0"/>
        <w:spacing w:before="0" w:line="341" w:lineRule="auto"/>
        <w:widowControl w:val="off"/>
        <w:rPr>
          <w:rFonts w:ascii="Times New Roman" w:hAnsi="Times New Roman" w:eastAsia="宋体"/>
          <w:sz w:val="28"/>
        </w:rPr>
      </w:pPr>
      <w:r/>
      <w:bookmarkStart w:id="422" w:name="_Toc151193926"/>
      <w:r/>
      <w:bookmarkStart w:id="423" w:name="_Toc151193780"/>
      <w:r/>
      <w:bookmarkStart w:id="424" w:name="_Toc127151538"/>
      <w:r/>
      <w:bookmarkStart w:id="425" w:name="_Toc151193708"/>
      <w:r/>
      <w:bookmarkStart w:id="426" w:name="_Toc265228376"/>
      <w:r/>
      <w:bookmarkStart w:id="427" w:name="_Toc151190165"/>
      <w:r/>
      <w:bookmarkStart w:id="428" w:name="_Toc195842903"/>
      <w:r/>
      <w:bookmarkStart w:id="429" w:name="_Toc150774638"/>
      <w:r/>
      <w:bookmarkStart w:id="430" w:name="_Toc305158880"/>
      <w:r/>
      <w:bookmarkStart w:id="431" w:name="_Toc264969228"/>
      <w:r/>
      <w:bookmarkStart w:id="432" w:name="_Toc226309782"/>
      <w:r/>
      <w:bookmarkStart w:id="433" w:name="_Toc226965811"/>
      <w:r/>
      <w:bookmarkStart w:id="434" w:name="_Toc150774743"/>
      <w:r/>
      <w:bookmarkStart w:id="435" w:name="_Toc151193636"/>
      <w:r/>
      <w:bookmarkStart w:id="436" w:name="_Toc142311040"/>
      <w:r/>
      <w:bookmarkStart w:id="437" w:name="_Toc150509289"/>
      <w:r/>
      <w:bookmarkStart w:id="438" w:name="_Toc226337234"/>
      <w:r/>
      <w:bookmarkStart w:id="439" w:name="_Toc305158806"/>
      <w:r/>
      <w:bookmarkStart w:id="440" w:name="_Toc226965728"/>
      <w:r/>
      <w:bookmarkStart w:id="441" w:name="_Toc150480776"/>
      <w:r/>
      <w:bookmarkStart w:id="442" w:name="_Toc520356163"/>
      <w:r/>
      <w:bookmarkStart w:id="443" w:name="_Toc151193852"/>
      <w:r>
        <w:rPr>
          <w:rFonts w:ascii="Times New Roman" w:hAnsi="Times New Roman" w:eastAsia="宋体"/>
          <w:sz w:val="28"/>
        </w:rPr>
        <w:t xml:space="preserve">五</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Times New Roman" w:hAnsi="Times New Roman" w:eastAsia="宋体"/>
          <w:sz w:val="28"/>
        </w:rPr>
        <w:t xml:space="preserve">、</w:t>
      </w:r>
      <w:r>
        <w:rPr>
          <w:rFonts w:ascii="Times New Roman" w:hAnsi="Times New Roman" w:eastAsia="宋体"/>
          <w:sz w:val="28"/>
        </w:rPr>
        <w:t xml:space="preserve">评审</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响应文件</w:t>
      </w:r>
      <w:bookmarkStart w:id="444" w:name="_Toc520356165"/>
      <w:r>
        <w:rPr>
          <w:rFonts w:hint="eastAsia" w:ascii="宋体" w:hAnsi="宋体" w:cs="宋体"/>
          <w:szCs w:val="21"/>
        </w:rPr>
        <w:t xml:space="preserve">的解密与开启</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本项目采用不见面交易模式，使用“苏采云”系统在线进行解密。供应商应在规定的时间内对响应文件进行解密，因非系统原因导致的解密失败，视为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供应商不足3家的，不予解密。</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本项目不公开报价。</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w:t>
      </w:r>
      <w:r>
        <w:rPr>
          <w:rFonts w:hint="eastAsia" w:ascii="宋体" w:hAnsi="宋体" w:cs="宋体"/>
          <w:szCs w:val="21"/>
          <w:lang w:bidi="ar"/>
        </w:rPr>
        <w:t xml:space="preserve">苏采云</w:t>
      </w:r>
      <w:r>
        <w:rPr>
          <w:rFonts w:hint="eastAsia" w:ascii="宋体" w:hAnsi="宋体" w:cs="宋体"/>
          <w:szCs w:val="21"/>
        </w:rPr>
        <w:t xml:space="preserve">”系统无法正常运行，或者无法保证本项目采购活动的公平、公正和安全时，代理机构可以延缓或者暂停采购活动，情况严重的可以终止采购活动：</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 1)平台系统发生故障而无法登录访问的；</w:t>
      </w:r>
      <w:r/>
    </w:p>
    <w:p>
      <w:pPr>
        <w:ind w:left="357" w:firstLine="735"/>
        <w:pageBreakBefore w:val="0"/>
        <w:spacing w:line="341"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p>
    <w:p>
      <w:pPr>
        <w:ind w:left="357" w:firstLine="735"/>
        <w:pageBreakBefore w:val="0"/>
        <w:spacing w:line="341"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p>
    <w:p>
      <w:pPr>
        <w:ind w:left="357" w:firstLine="735"/>
        <w:pageBreakBefore w:val="0"/>
        <w:spacing w:line="341"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p>
    <w:p>
      <w:pPr>
        <w:ind w:left="357" w:firstLine="735"/>
        <w:pageBreakBefore w:val="0"/>
        <w:spacing w:line="341" w:lineRule="auto"/>
        <w:widowControl w:val="off"/>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p>
    <w:p>
      <w:pPr>
        <w:ind w:firstLine="420"/>
        <w:pageBreakBefore w:val="0"/>
        <w:spacing w:line="341" w:lineRule="auto"/>
        <w:widowControl w:val="off"/>
        <w:tabs>
          <w:tab w:val="left" w:pos="993"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44"/>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磋商程序</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color w:val="ff0000"/>
          <w:szCs w:val="21"/>
        </w:rPr>
      </w:pPr>
      <w:r>
        <w:rPr>
          <w:rFonts w:hint="eastAsia" w:ascii="宋体" w:hAnsi="宋体" w:cs="宋体"/>
          <w:color w:val="ff0000"/>
          <w:szCs w:val="21"/>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445" w:name="_Toc265228383"/>
      <w:r/>
      <w:bookmarkStart w:id="446" w:name="_Toc151193859"/>
      <w:r/>
      <w:bookmarkStart w:id="447" w:name="_Toc226337241"/>
      <w:r/>
      <w:bookmarkStart w:id="448" w:name="_Toc226965818"/>
      <w:r/>
      <w:bookmarkStart w:id="449" w:name="_Toc150509296"/>
      <w:r/>
      <w:bookmarkStart w:id="450" w:name="_Toc305158887"/>
      <w:r/>
      <w:bookmarkStart w:id="451" w:name="_Toc151193933"/>
      <w:r/>
      <w:bookmarkStart w:id="452" w:name="_Toc195842910"/>
      <w:r/>
      <w:bookmarkStart w:id="453" w:name="_Toc226965735"/>
      <w:r/>
      <w:bookmarkStart w:id="454" w:name="_Toc305158813"/>
      <w:r/>
      <w:bookmarkStart w:id="455" w:name="_Toc150774645"/>
      <w:r/>
      <w:bookmarkStart w:id="456" w:name="_Toc150480783"/>
      <w:r/>
      <w:bookmarkStart w:id="457" w:name="_Toc264969235"/>
      <w:r/>
      <w:bookmarkStart w:id="458" w:name="_Toc127151545"/>
      <w:r/>
      <w:bookmarkStart w:id="459" w:name="_Toc151193643"/>
      <w:r/>
      <w:bookmarkStart w:id="460" w:name="_Toc151193715"/>
      <w:r/>
      <w:bookmarkStart w:id="461" w:name="_Toc151193787"/>
      <w:r/>
      <w:bookmarkStart w:id="462" w:name="_Toc142311047"/>
      <w:r/>
      <w:bookmarkStart w:id="463" w:name="_Toc226309789"/>
      <w:r/>
      <w:bookmarkStart w:id="464" w:name="_Toc151190172"/>
      <w:r/>
      <w:bookmarkStart w:id="465" w:name="_Toc150774750"/>
      <w:r>
        <w:rPr>
          <w:rFonts w:hint="eastAsia" w:ascii="宋体" w:hAnsi="宋体" w:cs="宋体"/>
          <w:szCs w:val="21"/>
        </w:rPr>
        <w:t xml:space="preserve">磋商小组</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66" w:name="_Toc520356166"/>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66"/>
      <w:r/>
      <w:r/>
    </w:p>
    <w:p>
      <w:pPr>
        <w:numPr>
          <w:ilvl w:val="0"/>
          <w:numId w:val="9"/>
        </w:numPr>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评审方法和评审标准</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见第三章《评审方法和评审标准》。</w:t>
      </w:r>
      <w:r/>
    </w:p>
    <w:p>
      <w:pPr>
        <w:pStyle w:val="804"/>
        <w:pageBreakBefore w:val="0"/>
        <w:spacing w:before="0" w:line="341" w:lineRule="auto"/>
        <w:widowControl w:val="off"/>
        <w:rPr>
          <w:rFonts w:ascii="Times New Roman" w:hAnsi="Times New Roman" w:eastAsia="宋体"/>
          <w:sz w:val="28"/>
        </w:rPr>
      </w:pPr>
      <w:r>
        <w:rPr>
          <w:rFonts w:ascii="Times New Roman" w:hAnsi="Times New Roman" w:eastAsia="宋体"/>
          <w:sz w:val="28"/>
        </w:rPr>
        <w:t xml:space="preserve">六</w:t>
      </w:r>
      <w:bookmarkEnd w:id="331"/>
      <w:r>
        <w:rPr>
          <w:rFonts w:hint="eastAsia" w:ascii="Times New Roman" w:hAnsi="Times New Roman" w:eastAsia="宋体"/>
          <w:sz w:val="28"/>
        </w:rPr>
        <w:t xml:space="preserve">、</w:t>
      </w:r>
      <w:r>
        <w:rPr>
          <w:rFonts w:ascii="Times New Roman" w:hAnsi="Times New Roman" w:eastAsia="宋体"/>
          <w:sz w:val="28"/>
        </w:rPr>
        <w:t xml:space="preserve">确定</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ascii="Times New Roman" w:hAnsi="Times New Roman" w:eastAsia="宋体"/>
          <w:sz w:val="28"/>
        </w:rPr>
        <w:t xml:space="preserve">成交</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467" w:name="_Toc305158889"/>
      <w:r/>
      <w:bookmarkStart w:id="468" w:name="_Toc150774752"/>
      <w:r/>
      <w:bookmarkStart w:id="469" w:name="_Toc226965737"/>
      <w:r/>
      <w:bookmarkStart w:id="470" w:name="_Toc164229388"/>
      <w:r/>
      <w:bookmarkStart w:id="471" w:name="_Toc150480785"/>
      <w:r/>
      <w:bookmarkStart w:id="472" w:name="_Toc164608816"/>
      <w:r/>
      <w:bookmarkStart w:id="473" w:name="_Toc264969237"/>
      <w:r/>
      <w:bookmarkStart w:id="474" w:name="_Toc151193935"/>
      <w:r/>
      <w:bookmarkStart w:id="475" w:name="_Toc164351641"/>
      <w:r/>
      <w:bookmarkStart w:id="476" w:name="_Toc164608661"/>
      <w:r/>
      <w:bookmarkStart w:id="477" w:name="_Toc151193645"/>
      <w:r/>
      <w:bookmarkStart w:id="478" w:name="_Toc195842912"/>
      <w:r/>
      <w:bookmarkStart w:id="479" w:name="_Toc127151748"/>
      <w:r/>
      <w:bookmarkStart w:id="480" w:name="_Toc150774647"/>
      <w:r/>
      <w:bookmarkStart w:id="481" w:name="_Toc164229242"/>
      <w:r/>
      <w:bookmarkStart w:id="482" w:name="_Toc305158815"/>
      <w:r/>
      <w:bookmarkStart w:id="483" w:name="_Toc151193789"/>
      <w:r/>
      <w:bookmarkStart w:id="484" w:name="_Toc151190174"/>
      <w:r/>
      <w:bookmarkStart w:id="485" w:name="_Toc265228385"/>
      <w:r/>
      <w:bookmarkStart w:id="486" w:name="_Toc151193717"/>
      <w:r/>
      <w:bookmarkStart w:id="487" w:name="_Toc151193861"/>
      <w:r/>
      <w:bookmarkStart w:id="488" w:name="_Toc127151547"/>
      <w:r/>
      <w:bookmarkStart w:id="489" w:name="_Toc127161461"/>
      <w:r/>
      <w:bookmarkStart w:id="490" w:name="_Toc226337243"/>
      <w:r/>
      <w:bookmarkStart w:id="491" w:name="_Toc149720840"/>
      <w:r/>
      <w:bookmarkStart w:id="492" w:name="_Toc150509298"/>
      <w:r/>
      <w:bookmarkStart w:id="493" w:name="_Toc226965820"/>
      <w:r/>
      <w:bookmarkStart w:id="494" w:name="_Toc142311049"/>
      <w:r/>
      <w:bookmarkStart w:id="495" w:name="_Toc226309791"/>
      <w:r>
        <w:rPr>
          <w:rFonts w:hint="eastAsia" w:ascii="宋体" w:hAnsi="宋体" w:cs="宋体"/>
          <w:szCs w:val="21"/>
        </w:rPr>
        <w:t xml:space="preserve">确定成交供应商</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496" w:name="_Toc305158891"/>
      <w:r/>
      <w:bookmarkStart w:id="497" w:name="_Toc305158817"/>
      <w:r/>
      <w:bookmarkStart w:id="498" w:name="_Toc151193937"/>
      <w:r/>
      <w:bookmarkStart w:id="499" w:name="_Toc150774649"/>
      <w:r/>
      <w:bookmarkStart w:id="500" w:name="_Toc127151750"/>
      <w:r/>
      <w:bookmarkStart w:id="501" w:name="_Toc149720842"/>
      <w:r/>
      <w:bookmarkStart w:id="502" w:name="_Toc151193647"/>
      <w:r/>
      <w:bookmarkStart w:id="503" w:name="_Toc226309793"/>
      <w:r/>
      <w:bookmarkStart w:id="504" w:name="_Toc150480787"/>
      <w:r/>
      <w:bookmarkStart w:id="505" w:name="_Toc150509300"/>
      <w:r/>
      <w:bookmarkStart w:id="506" w:name="_Toc164608663"/>
      <w:r/>
      <w:bookmarkStart w:id="507" w:name="_Toc127151549"/>
      <w:r/>
      <w:bookmarkStart w:id="508" w:name="_Toc264969239"/>
      <w:r/>
      <w:bookmarkStart w:id="509" w:name="_Toc164608818"/>
      <w:r/>
      <w:bookmarkStart w:id="510" w:name="_Toc151193791"/>
      <w:r/>
      <w:bookmarkStart w:id="511" w:name="_Toc164229244"/>
      <w:r/>
      <w:bookmarkStart w:id="512" w:name="_Toc127161463"/>
      <w:r/>
      <w:bookmarkStart w:id="513" w:name="_Toc265228387"/>
      <w:r/>
      <w:bookmarkStart w:id="514" w:name="_Toc150774754"/>
      <w:r/>
      <w:bookmarkStart w:id="515" w:name="_Toc164229390"/>
      <w:r/>
      <w:bookmarkStart w:id="516" w:name="_Toc151193863"/>
      <w:r/>
      <w:bookmarkStart w:id="517" w:name="_Toc142311051"/>
      <w:r/>
      <w:bookmarkStart w:id="518" w:name="_Toc151190176"/>
      <w:r/>
      <w:bookmarkStart w:id="519" w:name="_Toc164351643"/>
      <w:r/>
      <w:bookmarkStart w:id="520" w:name="_Toc226965739"/>
      <w:r/>
      <w:bookmarkStart w:id="521" w:name="_Toc195842914"/>
      <w:r/>
      <w:bookmarkStart w:id="522" w:name="_Toc226337245"/>
      <w:r/>
      <w:bookmarkStart w:id="523" w:name="_Toc226965822"/>
      <w:r/>
      <w:bookmarkStart w:id="524" w:name="_Toc151193719"/>
      <w:r/>
      <w:bookmarkStart w:id="525" w:name="_Ref467307090"/>
      <w:r/>
      <w:bookmarkStart w:id="526" w:name="_Ref467306425"/>
      <w:r/>
      <w:bookmarkStart w:id="527" w:name="_Toc520356176"/>
      <w:r>
        <w:rPr>
          <w:rFonts w:hint="eastAsia" w:ascii="宋体" w:hAnsi="宋体" w:cs="宋体"/>
          <w:szCs w:val="21"/>
        </w:rPr>
        <w:t xml:space="preserve">成交公告与成交通知书</w:t>
      </w:r>
      <w:bookmarkEnd w:id="496"/>
      <w:r/>
      <w:bookmarkEnd w:id="497"/>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采购人或采购代理机构将在成交供应商确定后2个工作日内，在江苏政府采购网公告成交结果，同时向成交供应商发出成交通知书，成交公告期限为1个工作日。</w:t>
      </w:r>
      <w:r/>
    </w:p>
    <w:p>
      <w:pPr>
        <w:numPr>
          <w:ilvl w:val="1"/>
          <w:numId w:val="9"/>
        </w:numPr>
        <w:ind w:left="1080"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bookmarkStart w:id="528" w:name="_Toc150774755"/>
      <w:r/>
      <w:bookmarkStart w:id="529" w:name="_Toc142311052"/>
      <w:r/>
      <w:bookmarkStart w:id="530" w:name="_Ref467307062"/>
      <w:r/>
      <w:bookmarkStart w:id="531" w:name="_Toc151193792"/>
      <w:r/>
      <w:bookmarkStart w:id="532" w:name="_Toc150509301"/>
      <w:r/>
      <w:bookmarkStart w:id="533" w:name="_Toc226337246"/>
      <w:r/>
      <w:bookmarkStart w:id="534" w:name="_Toc265228388"/>
      <w:r/>
      <w:bookmarkStart w:id="535" w:name="_Toc150774650"/>
      <w:r/>
      <w:bookmarkStart w:id="536" w:name="_Toc520356175"/>
      <w:r/>
      <w:bookmarkStart w:id="537" w:name="_Toc305158818"/>
      <w:r/>
      <w:bookmarkStart w:id="538" w:name="_Toc151193720"/>
      <w:r/>
      <w:bookmarkStart w:id="539" w:name="_Toc151190177"/>
      <w:r/>
      <w:bookmarkStart w:id="540" w:name="_Toc164608819"/>
      <w:r/>
      <w:bookmarkStart w:id="541" w:name="_Toc226965740"/>
      <w:r/>
      <w:bookmarkStart w:id="542" w:name="_Ref467307204"/>
      <w:r/>
      <w:bookmarkStart w:id="543" w:name="_Toc226965823"/>
      <w:r/>
      <w:bookmarkStart w:id="544" w:name="_Toc164229245"/>
      <w:r/>
      <w:bookmarkStart w:id="545" w:name="_Toc164351644"/>
      <w:r/>
      <w:bookmarkStart w:id="546" w:name="_Toc127151550"/>
      <w:r/>
      <w:bookmarkStart w:id="547" w:name="_Ref467306377"/>
      <w:r/>
      <w:bookmarkStart w:id="548" w:name="_Toc195842915"/>
      <w:r/>
      <w:bookmarkStart w:id="549" w:name="_Toc127151751"/>
      <w:r/>
      <w:bookmarkStart w:id="550" w:name="_Toc151193864"/>
      <w:r/>
      <w:bookmarkStart w:id="551" w:name="_Toc151193648"/>
      <w:r/>
      <w:bookmarkStart w:id="552" w:name="_Toc127161464"/>
      <w:r/>
      <w:bookmarkStart w:id="553" w:name="_Toc226309794"/>
      <w:r/>
      <w:bookmarkStart w:id="554" w:name="_Toc150480788"/>
      <w:r/>
      <w:bookmarkStart w:id="555" w:name="_Toc164608664"/>
      <w:r/>
      <w:bookmarkStart w:id="556" w:name="_Toc164229391"/>
      <w:r/>
      <w:bookmarkStart w:id="557" w:name="_Toc264969240"/>
      <w:r/>
      <w:bookmarkStart w:id="558" w:name="_Toc305158892"/>
      <w:r/>
      <w:bookmarkStart w:id="559" w:name="_Toc151193938"/>
      <w:r/>
      <w:bookmarkStart w:id="560" w:name="_Ref467306978"/>
      <w:r/>
      <w:bookmarkStart w:id="561" w:name="_Toc149720843"/>
      <w:r>
        <w:rPr>
          <w:rFonts w:hint="eastAsia" w:ascii="宋体" w:hAnsi="宋体" w:cs="宋体"/>
          <w:szCs w:val="21"/>
        </w:rPr>
        <w:t xml:space="preserve">终止</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出现影响采购公正的违法、违规行为的；</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签订合同</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25"/>
      <w:r/>
      <w:bookmarkEnd w:id="526"/>
      <w:r/>
      <w:bookmarkEnd w:id="527"/>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询问与质疑</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询问</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质疑</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861"/>
          <w:rFonts w:hint="eastAsia" w:ascii="宋体" w:hAnsi="宋体" w:cs="宋体"/>
          <w:szCs w:val="21"/>
        </w:rPr>
        <w:t xml:space="preserve">http：//gk</w:t>
      </w:r>
      <w:bookmarkStart w:id="562" w:name="_Hlt100654014"/>
      <w:r>
        <w:rPr>
          <w:rStyle w:val="861"/>
          <w:rFonts w:hint="eastAsia" w:ascii="宋体" w:hAnsi="宋体" w:cs="宋体"/>
          <w:szCs w:val="21"/>
        </w:rPr>
        <w:t xml:space="preserve">s</w:t>
      </w:r>
      <w:bookmarkEnd w:id="562"/>
      <w:r>
        <w:rPr>
          <w:rStyle w:val="861"/>
          <w:rFonts w:hint="eastAsia" w:ascii="宋体" w:hAnsi="宋体" w:cs="宋体"/>
          <w:szCs w:val="21"/>
        </w:rPr>
        <w:t xml:space="preserve">.m</w:t>
      </w:r>
      <w:bookmarkStart w:id="563" w:name="_Hlt100653993"/>
      <w:r/>
      <w:bookmarkStart w:id="564" w:name="_Hlt100653994"/>
      <w:r>
        <w:rPr>
          <w:rStyle w:val="861"/>
          <w:rFonts w:hint="eastAsia" w:ascii="宋体" w:hAnsi="宋体" w:cs="宋体"/>
          <w:szCs w:val="21"/>
        </w:rPr>
        <w:t xml:space="preserve">o</w:t>
      </w:r>
      <w:bookmarkEnd w:id="563"/>
      <w:r/>
      <w:bookmarkEnd w:id="564"/>
      <w:r/>
      <w:bookmarkStart w:id="565" w:name="_Hlt101169156"/>
      <w:r>
        <w:rPr>
          <w:rStyle w:val="861"/>
          <w:rFonts w:hint="eastAsia" w:ascii="宋体" w:hAnsi="宋体" w:cs="宋体"/>
          <w:szCs w:val="21"/>
        </w:rPr>
        <w:t xml:space="preserve">f</w:t>
      </w:r>
      <w:bookmarkEnd w:id="565"/>
      <w:r>
        <w:rPr>
          <w:rStyle w:val="861"/>
          <w:rFonts w:hint="eastAsia" w:ascii="宋体" w:hAnsi="宋体" w:cs="宋体"/>
          <w:szCs w:val="21"/>
        </w:rPr>
        <w:t xml:space="preserve">.gov.cn/ztztz/zhengfucaigouguanli/201802/t20180201_2804589.htm</w:t>
      </w:r>
      <w:r>
        <w:rPr>
          <w:rStyle w:val="861"/>
          <w:rFonts w:hint="eastAsia" w:ascii="宋体" w:hAnsi="宋体" w:cs="宋体"/>
          <w:szCs w:val="21"/>
        </w:rPr>
        <w:fldChar w:fldCharType="end"/>
      </w:r>
      <w:r>
        <w:rPr>
          <w:rFonts w:hint="eastAsia" w:ascii="宋体" w:hAnsi="宋体" w:cs="宋体"/>
          <w:szCs w:val="21"/>
        </w:rPr>
        <w:t xml:space="preserve">）</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9"/>
        </w:numPr>
        <w:pageBreakBefore w:val="0"/>
        <w:spacing w:line="341" w:lineRule="auto"/>
        <w:widowControl w:val="off"/>
        <w:rPr>
          <w:rFonts w:hint="eastAsia"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9"/>
        </w:numPr>
        <w:ind w:left="357" w:hanging="357"/>
        <w:pageBreakBefore w:val="0"/>
        <w:spacing w:line="341" w:lineRule="auto"/>
        <w:widowControl w:val="off"/>
        <w:tabs>
          <w:tab w:val="left" w:pos="360" w:leader="none"/>
        </w:tabs>
        <w:rPr>
          <w:rFonts w:hint="eastAsia" w:ascii="宋体" w:hAnsi="宋体" w:cs="宋体"/>
          <w:szCs w:val="21"/>
        </w:rPr>
        <w:outlineLvl w:val="1"/>
      </w:pPr>
      <w:r>
        <w:rPr>
          <w:rFonts w:hint="eastAsia" w:ascii="宋体" w:hAnsi="宋体" w:cs="宋体"/>
          <w:szCs w:val="21"/>
        </w:rPr>
        <w:t xml:space="preserve">代理费</w:t>
      </w:r>
      <w:r/>
    </w:p>
    <w:p>
      <w:pPr>
        <w:numPr>
          <w:ilvl w:val="1"/>
          <w:numId w:val="9"/>
        </w:numPr>
        <w:ind w:left="1077" w:hanging="720"/>
        <w:pageBreakBefore w:val="0"/>
        <w:spacing w:line="341" w:lineRule="auto"/>
        <w:widowControl w:val="off"/>
        <w:tabs>
          <w:tab w:val="left" w:pos="1080"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jc w:val="center"/>
        <w:spacing w:line="288" w:lineRule="auto"/>
        <w:rPr>
          <w:b/>
          <w:sz w:val="28"/>
          <w:szCs w:val="28"/>
        </w:rPr>
        <w:outlineLvl w:val="0"/>
      </w:pPr>
      <w:r>
        <w:rPr>
          <w:b/>
          <w:sz w:val="28"/>
          <w:szCs w:val="28"/>
        </w:rPr>
        <w:t xml:space="preserve">第三章   </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Pr>
          <w:b/>
          <w:sz w:val="28"/>
          <w:szCs w:val="28"/>
        </w:rPr>
        <w:t xml:space="preserve">评审</w:t>
      </w:r>
      <w:r>
        <w:rPr>
          <w:rFonts w:hint="eastAsia"/>
          <w:b/>
          <w:sz w:val="28"/>
          <w:szCs w:val="28"/>
        </w:rPr>
        <w:t xml:space="preserve">程序、评审</w:t>
      </w:r>
      <w:r>
        <w:rPr>
          <w:b/>
          <w:sz w:val="28"/>
          <w:szCs w:val="28"/>
        </w:rPr>
        <w:t xml:space="preserve">方法和评审标准</w:t>
      </w:r>
      <w:bookmarkEnd w:id="566"/>
      <w:r/>
      <w:bookmarkEnd w:id="567"/>
      <w:r/>
      <w:bookmarkStart w:id="568" w:name="_Toc487900382"/>
      <w:r/>
      <w:r/>
    </w:p>
    <w:p>
      <w:pPr>
        <w:spacing w:line="288" w:lineRule="auto"/>
        <w:rPr>
          <w:sz w:val="24"/>
        </w:rPr>
      </w:pPr>
      <w:r>
        <w:rPr>
          <w:sz w:val="24"/>
        </w:rPr>
        <w:t xml:space="preserve">一、</w:t>
      </w:r>
      <w:r>
        <w:rPr>
          <w:rFonts w:hint="eastAsia"/>
          <w:sz w:val="24"/>
        </w:rPr>
        <w:t xml:space="preserve">评审</w:t>
      </w:r>
      <w:r>
        <w:rPr>
          <w:sz w:val="24"/>
        </w:rPr>
        <w:t xml:space="preserve">程序</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568"/>
      <w:r/>
      <w:r/>
    </w:p>
    <w:p>
      <w:pPr>
        <w:numPr>
          <w:ilvl w:val="0"/>
          <w:numId w:val="11"/>
        </w:numPr>
        <w:spacing w:line="288" w:lineRule="auto"/>
        <w:tabs>
          <w:tab w:val="left" w:pos="360" w:leader="none"/>
        </w:tabs>
        <w:rPr>
          <w:rFonts w:hint="eastAsia" w:ascii="宋体" w:hAnsi="宋体" w:cs="宋体"/>
          <w:szCs w:val="21"/>
        </w:rPr>
      </w:pPr>
      <w:r/>
      <w:bookmarkStart w:id="569" w:name="_Toc151193711"/>
      <w:r/>
      <w:bookmarkStart w:id="570" w:name="_Toc264969231"/>
      <w:r/>
      <w:bookmarkStart w:id="571" w:name="_Toc151193783"/>
      <w:r/>
      <w:bookmarkStart w:id="572" w:name="_Toc150774746"/>
      <w:r/>
      <w:bookmarkStart w:id="573" w:name="_Toc226337237"/>
      <w:r/>
      <w:bookmarkStart w:id="574" w:name="_Toc164351635"/>
      <w:r/>
      <w:bookmarkStart w:id="575" w:name="_Toc150509292"/>
      <w:r/>
      <w:bookmarkStart w:id="576" w:name="_Toc305158883"/>
      <w:r/>
      <w:bookmarkStart w:id="577" w:name="_Toc127161455"/>
      <w:r/>
      <w:bookmarkStart w:id="578" w:name="_Toc150480779"/>
      <w:r/>
      <w:bookmarkStart w:id="579" w:name="_Toc226965814"/>
      <w:r/>
      <w:bookmarkStart w:id="580" w:name="_Toc127151541"/>
      <w:r/>
      <w:bookmarkStart w:id="581" w:name="_Toc164229382"/>
      <w:r/>
      <w:bookmarkStart w:id="582" w:name="_Toc151193855"/>
      <w:r/>
      <w:bookmarkStart w:id="583" w:name="_Toc151193639"/>
      <w:r/>
      <w:bookmarkStart w:id="584" w:name="_Toc149720834"/>
      <w:r/>
      <w:bookmarkStart w:id="585" w:name="_Toc164229236"/>
      <w:r/>
      <w:bookmarkStart w:id="586" w:name="_Toc151190168"/>
      <w:r/>
      <w:bookmarkStart w:id="587" w:name="_Toc226309785"/>
      <w:r/>
      <w:bookmarkStart w:id="588" w:name="_Toc164608810"/>
      <w:r/>
      <w:bookmarkStart w:id="589" w:name="_Toc164608655"/>
      <w:r/>
      <w:bookmarkStart w:id="590" w:name="_Toc142311043"/>
      <w:r/>
      <w:bookmarkStart w:id="591" w:name="_Toc195842906"/>
      <w:r/>
      <w:bookmarkStart w:id="592" w:name="_Toc265228379"/>
      <w:r/>
      <w:bookmarkStart w:id="593" w:name="_Toc151193929"/>
      <w:r/>
      <w:bookmarkStart w:id="594" w:name="_Toc127151742"/>
      <w:r/>
      <w:bookmarkStart w:id="595" w:name="_Toc150774641"/>
      <w:r/>
      <w:bookmarkStart w:id="596" w:name="_Toc226965731"/>
      <w:r/>
      <w:bookmarkStart w:id="597" w:name="_Toc305158809"/>
      <w:r/>
      <w:bookmarkStart w:id="598" w:name="_Toc353873941"/>
      <w:r/>
      <w:bookmarkStart w:id="599" w:name="_Toc353825551"/>
      <w:r/>
      <w:bookmarkStart w:id="600" w:name="_Toc264969245"/>
      <w:r/>
      <w:bookmarkStart w:id="601" w:name="_Toc226965828"/>
      <w:r/>
      <w:bookmarkStart w:id="602" w:name="_Toc150480793"/>
      <w:r/>
      <w:bookmarkStart w:id="603" w:name="_Toc353873665"/>
      <w:r/>
      <w:bookmarkStart w:id="604" w:name="_Toc226337251"/>
      <w:r/>
      <w:bookmarkStart w:id="605" w:name="_Toc127151555"/>
      <w:r/>
      <w:bookmarkStart w:id="606" w:name="_Toc305158823"/>
      <w:r/>
      <w:bookmarkStart w:id="607" w:name="_Toc265228393"/>
      <w:r/>
      <w:bookmarkStart w:id="608" w:name="_Toc195842920"/>
      <w:r/>
      <w:bookmarkStart w:id="609" w:name="_Toc305158897"/>
      <w:r/>
      <w:bookmarkStart w:id="610" w:name="_Toc142311057"/>
      <w:r/>
      <w:bookmarkStart w:id="611" w:name="_Toc353873935"/>
      <w:r/>
      <w:bookmarkStart w:id="612" w:name="_Toc353825545"/>
      <w:r/>
      <w:bookmarkStart w:id="613" w:name="_Toc150774760"/>
      <w:r>
        <w:rPr>
          <w:rFonts w:hint="eastAsia" w:ascii="宋体" w:hAnsi="宋体" w:cs="宋体"/>
          <w:szCs w:val="21"/>
        </w:rPr>
        <w:t xml:space="preserve">响应文件的</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Pr>
          <w:rFonts w:hint="eastAsia" w:ascii="宋体" w:hAnsi="宋体" w:cs="宋体"/>
          <w:szCs w:val="21"/>
        </w:rPr>
        <w:t xml:space="preserve">资格性检查和符合性审查</w:t>
      </w:r>
      <w:r/>
    </w:p>
    <w:p>
      <w:pPr>
        <w:numPr>
          <w:ilvl w:val="1"/>
          <w:numId w:val="11"/>
        </w:numPr>
        <w:ind w:left="1077" w:hanging="720"/>
        <w:spacing w:line="288" w:lineRule="auto"/>
        <w:tabs>
          <w:tab w:val="left" w:pos="1080" w:leader="none"/>
        </w:tabs>
        <w:rPr>
          <w:rFonts w:hint="eastAsia"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1"/>
        </w:numPr>
        <w:ind w:left="1077" w:hanging="720"/>
        <w:spacing w:line="288" w:lineRule="auto"/>
        <w:tabs>
          <w:tab w:val="left" w:pos="1080" w:leader="none"/>
        </w:tabs>
        <w:rPr>
          <w:rFonts w:hint="eastAsia"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1"/>
        </w:numPr>
        <w:ind w:left="1077" w:hanging="720"/>
        <w:spacing w:line="288" w:lineRule="auto"/>
        <w:tabs>
          <w:tab w:val="left" w:pos="1080" w:leader="none"/>
        </w:tabs>
        <w:rPr>
          <w:rFonts w:hint="eastAsia" w:ascii="宋体" w:hAnsi="宋体" w:cs="宋体"/>
          <w:szCs w:val="21"/>
        </w:rPr>
      </w:pPr>
      <w:r>
        <w:rPr>
          <w:rFonts w:hint="eastAsia" w:ascii="宋体" w:hAnsi="宋体" w:cs="宋体"/>
          <w:szCs w:val="21"/>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13"/>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897"/>
        <w:gridCol w:w="4933"/>
        <w:gridCol w:w="1822"/>
      </w:tblGrid>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b/>
                <w:szCs w:val="21"/>
              </w:rPr>
            </w:pPr>
            <w:r/>
            <w:bookmarkStart w:id="614" w:name="_Hlt487972895"/>
            <w:r/>
            <w:bookmarkEnd w:id="614"/>
            <w:r>
              <w:rPr>
                <w:rFonts w:hint="eastAsia" w:ascii="宋体" w:hAnsi="宋体" w:cs="宋体"/>
                <w:b/>
                <w:szCs w:val="21"/>
              </w:rPr>
              <w:t xml:space="preserve">序号</w:t>
            </w:r>
            <w:r/>
          </w:p>
        </w:tc>
        <w:tc>
          <w:tcPr>
            <w:tcW w:w="1897" w:type="dxa"/>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审查因素</w:t>
            </w:r>
            <w:r/>
          </w:p>
        </w:tc>
        <w:tc>
          <w:tcPr>
            <w:tcW w:w="4933" w:type="dxa"/>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审查内容</w:t>
            </w:r>
            <w:r/>
          </w:p>
        </w:tc>
        <w:tc>
          <w:tcPr>
            <w:tcW w:w="1822" w:type="dxa"/>
            <w:vAlign w:val="center"/>
            <w:textDirection w:val="lrTb"/>
            <w:noWrap w:val="false"/>
          </w:tcPr>
          <w:p>
            <w:pPr>
              <w:jc w:val="center"/>
              <w:tabs>
                <w:tab w:val="left" w:pos="1080" w:leader="none"/>
              </w:tabs>
              <w:rPr>
                <w:rFonts w:hint="eastAsia" w:ascii="宋体" w:hAnsi="宋体" w:cs="宋体"/>
                <w:b/>
                <w:szCs w:val="21"/>
              </w:rPr>
            </w:pPr>
            <w:r>
              <w:rPr>
                <w:rFonts w:hint="eastAsia" w:ascii="宋体" w:hAnsi="宋体" w:cs="宋体"/>
                <w:b/>
                <w:szCs w:val="21"/>
              </w:rPr>
              <w:t xml:space="preserve">格式要求</w:t>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具体规定见第一章《采购邀请》</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1-1</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供应商资格声明函</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提供符合采购文件要求的《供应商资格声明函》。</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格式见《响应文件格式》</w:t>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1-2</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供应商信用记录</w:t>
            </w:r>
            <w:r/>
          </w:p>
        </w:tc>
        <w:tc>
          <w:tcPr>
            <w:tcW w:w="4933" w:type="dxa"/>
            <w:vAlign w:val="center"/>
            <w:textDirection w:val="lrTb"/>
            <w:noWrap w:val="false"/>
          </w:tcPr>
          <w:p>
            <w:pPr>
              <w:tabs>
                <w:tab w:val="left" w:pos="900" w:leader="none"/>
                <w:tab w:val="left" w:pos="19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p>
          <w:p>
            <w:pPr>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2</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r>
        <w:trPr>
          <w:jc w:val="center"/>
          <w:trHeight w:val="23"/>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2-1</w:t>
            </w:r>
            <w:r/>
          </w:p>
        </w:tc>
        <w:tc>
          <w:tcPr>
            <w:tcW w:w="1897"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中小企业声明函</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szCs w:val="21"/>
              </w:rPr>
            </w:pPr>
            <w:r>
              <w:rPr>
                <w:rFonts w:hint="eastAsia" w:ascii="宋体" w:hAnsi="宋体" w:cs="宋体"/>
                <w:szCs w:val="21"/>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Cs w:val="21"/>
              </w:rPr>
            </w:pPr>
            <w:r>
              <w:rPr>
                <w:rFonts w:hint="eastAsia" w:ascii="宋体" w:hAnsi="宋体" w:cs="宋体"/>
                <w:szCs w:val="21"/>
              </w:rPr>
              <w:t xml:space="preserve">注2：残疾人福利性单位须按磋商文件要求提供《残疾人福利性单位声明函》。</w:t>
            </w:r>
            <w:r/>
          </w:p>
        </w:tc>
        <w:tc>
          <w:tcPr>
            <w:tcW w:w="182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格式见《响应文件格式》</w:t>
            </w:r>
            <w:r/>
          </w:p>
        </w:tc>
      </w:tr>
      <w:tr>
        <w:trPr>
          <w:jc w:val="center"/>
          <w:trHeight w:val="654"/>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3</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本项目的特定资格要求</w:t>
            </w:r>
            <w:r/>
          </w:p>
        </w:tc>
        <w:tc>
          <w:tcPr>
            <w:tcW w:w="4933" w:type="dxa"/>
            <w:vAlign w:val="center"/>
            <w:textDirection w:val="lrTb"/>
            <w:noWrap w:val="false"/>
          </w:tcPr>
          <w:p>
            <w:pPr>
              <w:tabs>
                <w:tab w:val="left" w:pos="1080" w:leader="none"/>
              </w:tabs>
              <w:rPr>
                <w:rFonts w:hint="eastAsia" w:ascii="宋体" w:hAnsi="宋体" w:cs="宋体"/>
                <w:szCs w:val="21"/>
                <w:shd w:val="clear" w:color="auto" w:fill="ffffff"/>
              </w:rPr>
            </w:pPr>
            <w:r>
              <w:rPr>
                <w:rFonts w:hint="eastAsia" w:ascii="宋体" w:hAnsi="宋体" w:cs="宋体"/>
                <w:szCs w:val="21"/>
                <w:shd w:val="clear" w:color="auto" w:fill="ffffff"/>
              </w:rPr>
              <w:t xml:space="preserve">无</w:t>
            </w:r>
            <w:r/>
          </w:p>
        </w:tc>
        <w:tc>
          <w:tcPr>
            <w:tcW w:w="1822" w:type="dxa"/>
            <w:vAlign w:val="center"/>
            <w:textDirection w:val="lrTb"/>
            <w:noWrap w:val="false"/>
          </w:tcPr>
          <w:p>
            <w:pPr>
              <w:tabs>
                <w:tab w:val="left" w:pos="1080" w:leader="none"/>
              </w:tabs>
              <w:rPr>
                <w:rFonts w:hint="eastAsia" w:ascii="宋体" w:hAnsi="宋体" w:cs="宋体"/>
                <w:color w:val="ff0000"/>
                <w:szCs w:val="21"/>
                <w:highlight w:val="green"/>
              </w:rPr>
            </w:pPr>
            <w:r>
              <w:rPr>
                <w:rFonts w:hint="eastAsia" w:ascii="宋体" w:hAnsi="宋体" w:cs="宋体"/>
                <w:color w:val="ff0000"/>
                <w:szCs w:val="21"/>
                <w:highlight w:val="green"/>
              </w:rPr>
            </w:r>
            <w:r/>
          </w:p>
        </w:tc>
      </w:tr>
      <w:tr>
        <w:trPr>
          <w:jc w:val="center"/>
          <w:trHeight w:val="694"/>
        </w:trPr>
        <w:tc>
          <w:tcPr>
            <w:tcW w:w="702" w:type="dxa"/>
            <w:vAlign w:val="center"/>
            <w:textDirection w:val="lrTb"/>
            <w:noWrap w:val="false"/>
          </w:tcPr>
          <w:p>
            <w:pPr>
              <w:jc w:val="center"/>
              <w:tabs>
                <w:tab w:val="left" w:pos="1080" w:leader="none"/>
              </w:tabs>
              <w:rPr>
                <w:rFonts w:hint="eastAsia" w:ascii="宋体" w:hAnsi="宋体" w:cs="宋体"/>
                <w:szCs w:val="21"/>
              </w:rPr>
            </w:pPr>
            <w:r>
              <w:rPr>
                <w:rFonts w:hint="eastAsia" w:ascii="宋体" w:hAnsi="宋体" w:cs="宋体"/>
                <w:szCs w:val="21"/>
              </w:rPr>
              <w:t xml:space="preserve">3-1</w:t>
            </w:r>
            <w:r/>
          </w:p>
        </w:tc>
        <w:tc>
          <w:tcPr>
            <w:tcW w:w="1897"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是否接受联合体响应</w:t>
            </w:r>
            <w:r/>
          </w:p>
        </w:tc>
        <w:tc>
          <w:tcPr>
            <w:tcW w:w="4933"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t xml:space="preserve">本项目不接受联合体响应，供应商不得为联合体。</w:t>
            </w:r>
            <w:r/>
          </w:p>
        </w:tc>
        <w:tc>
          <w:tcPr>
            <w:tcW w:w="1822" w:type="dxa"/>
            <w:vAlign w:val="center"/>
            <w:textDirection w:val="lrTb"/>
            <w:noWrap w:val="false"/>
          </w:tcPr>
          <w:p>
            <w:pPr>
              <w:tabs>
                <w:tab w:val="left" w:pos="1080" w:leader="none"/>
              </w:tabs>
              <w:rPr>
                <w:rFonts w:hint="eastAsia" w:ascii="宋体" w:hAnsi="宋体" w:cs="宋体"/>
                <w:szCs w:val="21"/>
              </w:rPr>
            </w:pPr>
            <w:r>
              <w:rPr>
                <w:rFonts w:hint="eastAsia" w:ascii="宋体" w:hAnsi="宋体" w:cs="宋体"/>
                <w:szCs w:val="21"/>
              </w:rPr>
            </w:r>
            <w:r/>
          </w:p>
        </w:tc>
      </w:tr>
    </w:tbl>
    <w:p>
      <w:pPr>
        <w:ind w:left="357"/>
        <w:spacing w:line="360" w:lineRule="auto"/>
        <w:tabs>
          <w:tab w:val="left" w:pos="1080" w:leader="none"/>
        </w:tabs>
        <w:rPr>
          <w:szCs w:val="21"/>
        </w:rPr>
      </w:pPr>
      <w:r>
        <w:rPr>
          <w:szCs w:val="21"/>
        </w:rPr>
      </w:r>
      <w:r/>
    </w:p>
    <w:p>
      <w:pPr>
        <w:ind w:left="357"/>
        <w:spacing w:line="360" w:lineRule="auto"/>
        <w:tabs>
          <w:tab w:val="left" w:pos="1080" w:leader="none"/>
        </w:tabs>
        <w:rPr>
          <w:szCs w:val="21"/>
        </w:rPr>
      </w:pPr>
      <w:r>
        <w:rPr>
          <w:szCs w:val="21"/>
        </w:rPr>
      </w:r>
      <w:r/>
    </w:p>
    <w:p>
      <w:pPr>
        <w:numPr>
          <w:ilvl w:val="1"/>
          <w:numId w:val="11"/>
        </w:numPr>
        <w:ind w:left="1077" w:hanging="720"/>
        <w:spacing w:line="360" w:lineRule="auto"/>
        <w:tabs>
          <w:tab w:val="left" w:pos="1080" w:leader="none"/>
        </w:tabs>
        <w:rPr>
          <w:szCs w:val="21"/>
        </w:rPr>
      </w:pPr>
      <w:r>
        <w:rPr>
          <w:szCs w:val="21"/>
        </w:rPr>
        <w:t xml:space="preserve">《符合性审查要求》见下表</w:t>
      </w:r>
      <w:r>
        <w:rPr>
          <w:rFonts w:hint="eastAsia"/>
          <w:szCs w:val="21"/>
        </w:rPr>
        <w:t xml:space="preserve">：</w:t>
      </w:r>
      <w:r/>
    </w:p>
    <w:p>
      <w:pPr>
        <w:jc w:val="center"/>
        <w:spacing w:line="360" w:lineRule="auto"/>
        <w:widowControl/>
        <w:rPr>
          <w:b/>
          <w:color w:val="000000"/>
          <w:sz w:val="24"/>
        </w:rPr>
      </w:pPr>
      <w:r>
        <w:rPr>
          <w:b/>
          <w:color w:val="000000"/>
          <w:sz w:val="24"/>
        </w:rPr>
        <w:t xml:space="preserve">符合性审查要求</w:t>
      </w:r>
      <w:r/>
    </w:p>
    <w:tbl>
      <w:tblPr>
        <w:tblStyle w:val="81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826"/>
        <w:gridCol w:w="6772"/>
      </w:tblGrid>
      <w:tr>
        <w:trPr>
          <w:jc w:val="center"/>
          <w:trHeight w:val="23"/>
        </w:trPr>
        <w:tc>
          <w:tcPr>
            <w:tcW w:w="756"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序号</w:t>
            </w:r>
            <w:r/>
          </w:p>
        </w:tc>
        <w:tc>
          <w:tcPr>
            <w:tcW w:w="1826"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p>
        </w:tc>
        <w:tc>
          <w:tcPr>
            <w:tcW w:w="6772"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响应函、法定代表人资格证明书和政府采购供应商信用承诺书</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按磋商文件要求提供响应函、法定代表人资格证明书和政府采购供应商信用承诺书；</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响应完整性</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szCs w:val="21"/>
              </w:rPr>
              <w:t xml:space="preserve">未将一个采购包中的内容拆开响应；</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响应报价</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响应报价未超过磋商文件中规定的项目/采购包预算金额或者项目/采购包最高限价；</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报价唯一性</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响应有效期</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签署、加盖公章</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实质性格式</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szCs w:val="21"/>
              </w:rPr>
              <w:t xml:space="preserve">标记为“实质性格式”的文件均按磋商文件要求提供；</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★号条款响应</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响应文件满足磋商文件第四章《采购需求》中★号条款要求的；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1826"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报价的修正</w:t>
            </w:r>
            <w:r/>
          </w:p>
          <w:p>
            <w:pPr>
              <w:jc w:val="left"/>
              <w:widowControl/>
              <w:rPr>
                <w:rFonts w:hint="eastAsia" w:ascii="宋体" w:hAnsi="宋体" w:cs="宋体"/>
                <w:color w:val="000000"/>
                <w:szCs w:val="21"/>
              </w:rPr>
            </w:pPr>
            <w:r>
              <w:rPr>
                <w:rFonts w:hint="eastAsia" w:ascii="宋体" w:hAnsi="宋体" w:cs="宋体"/>
                <w:szCs w:val="21"/>
              </w:rPr>
              <w:t xml:space="preserve">（如有）</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szCs w:val="21"/>
              </w:rPr>
              <w:t xml:space="preserve">不涉及报价修正，或响应文件报价出现前后不一致时，供应商对修正后的报价予以确认；（如有）</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1826" w:type="dxa"/>
            <w:vAlign w:val="center"/>
            <w:textDirection w:val="lrTb"/>
            <w:noWrap w:val="false"/>
          </w:tcPr>
          <w:p>
            <w:pPr>
              <w:jc w:val="left"/>
              <w:widowControl/>
              <w:rPr>
                <w:rFonts w:hint="eastAsia" w:ascii="宋体" w:hAnsi="宋体" w:cs="宋体"/>
                <w:szCs w:val="21"/>
              </w:rPr>
            </w:pPr>
            <w:r>
              <w:rPr>
                <w:rFonts w:hint="eastAsia" w:ascii="宋体" w:hAnsi="宋体" w:cs="宋体"/>
                <w:color w:val="000000"/>
                <w:szCs w:val="21"/>
              </w:rPr>
              <w:t xml:space="preserve">进口产品（如有）</w:t>
            </w:r>
            <w:r/>
          </w:p>
        </w:tc>
        <w:tc>
          <w:tcPr>
            <w:tcW w:w="6772"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color w:val="000000"/>
                <w:szCs w:val="21"/>
              </w:rP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color w:val="000000"/>
                <w:szCs w:val="21"/>
              </w:rP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90"/>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公平竞争</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串通响应</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不存在《政府采购货物和服务招标响应管理办法》视为供应商串通响应的情形：（一）不同供应商的响应文件由同一单位或者个人编制</w:t>
            </w:r>
            <w:r>
              <w:rPr>
                <w:rFonts w:hint="eastAsia" w:ascii="宋体" w:hAnsi="宋体" w:cs="宋体"/>
                <w:szCs w:val="21"/>
              </w:rPr>
              <w:t xml:space="preserve">（包含使用同一MAC地址的计算机制作电子响应文件的情形）</w:t>
            </w:r>
            <w:r>
              <w:rPr>
                <w:rFonts w:hint="eastAsia" w:ascii="宋体" w:hAnsi="宋体" w:cs="宋体"/>
                <w:color w:val="000000"/>
                <w:szCs w:val="21"/>
              </w:rPr>
              <w:t xml:space="preserve">；（二）不同供应商委托同一单位或者个人办理响应事宜</w:t>
            </w:r>
            <w:r>
              <w:rPr>
                <w:rFonts w:hint="eastAsia" w:ascii="宋体" w:hAnsi="宋体" w:cs="宋体"/>
                <w:szCs w:val="21"/>
              </w:rPr>
              <w:t xml:space="preserve">（包含使用同一MAC地址的计算机提交或者解密电子响应文件的情形）</w:t>
            </w:r>
            <w:r>
              <w:rPr>
                <w:rFonts w:hint="eastAsia" w:ascii="宋体" w:hAnsi="宋体" w:cs="宋体"/>
                <w:color w:val="000000"/>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附加条件</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响应文件未含有采购人不能接受的附加条件的；</w:t>
            </w:r>
            <w:r/>
          </w:p>
        </w:tc>
      </w:tr>
      <w:tr>
        <w:trPr>
          <w:jc w:val="center"/>
          <w:trHeight w:val="23"/>
        </w:trPr>
        <w:tc>
          <w:tcPr>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15</w:t>
            </w:r>
            <w:r/>
          </w:p>
        </w:tc>
        <w:tc>
          <w:tcPr>
            <w:tcW w:w="1826"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其他无效情形</w:t>
            </w:r>
            <w:r/>
          </w:p>
        </w:tc>
        <w:tc>
          <w:tcPr>
            <w:tcW w:w="6772"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bookmarkEnd w:id="598"/>
            <w:r/>
            <w:bookmarkEnd w:id="599"/>
            <w:r/>
            <w:r/>
          </w:p>
        </w:tc>
      </w:tr>
    </w:tbl>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对磋商文件作出的实质性变动是磋商文件的有效组成部分，磋商小组应当及时以书面形式同时通知所有参加磋商的供应商。</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r/>
    </w:p>
    <w:p>
      <w:pPr>
        <w:numPr>
          <w:ilvl w:val="1"/>
          <w:numId w:val="11"/>
        </w:numPr>
        <w:ind w:left="1077" w:hanging="720"/>
        <w:spacing w:line="360" w:lineRule="auto"/>
        <w:tabs>
          <w:tab w:val="left" w:pos="1080" w:leader="none"/>
          <w:tab w:val="left" w:pos="1872" w:leader="none"/>
        </w:tabs>
        <w:rPr>
          <w:rFonts w:hint="eastAsia" w:ascii="宋体" w:hAnsi="宋体" w:cs="宋体"/>
          <w:b/>
          <w:szCs w:val="21"/>
        </w:rPr>
      </w:pPr>
      <w:r>
        <w:rPr>
          <w:rFonts w:hint="eastAsia" w:ascii="宋体" w:hAnsi="宋体" w:cs="宋体"/>
          <w:b/>
          <w:szCs w:val="21"/>
        </w:rPr>
        <w:t xml:space="preserve">磋商结束后，磋商小组将要求所有实质性响应的供应商在规定时间内提交最终报价</w:t>
      </w:r>
      <w:r>
        <w:rPr>
          <w:rFonts w:hint="eastAsia" w:ascii="宋体" w:hAnsi="宋体" w:cs="宋体"/>
          <w:b/>
          <w:bCs/>
          <w:szCs w:val="21"/>
        </w:rPr>
        <w:t xml:space="preserve">，最后报价作为评分依据。</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最终报价的算术修正及政策调整</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11"/>
        </w:numPr>
        <w:spacing w:line="360" w:lineRule="auto"/>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供应商对实质性变动不予确认的；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1"/>
        </w:numPr>
        <w:ind w:left="1077" w:hanging="720"/>
        <w:spacing w:line="360" w:lineRule="auto"/>
        <w:tabs>
          <w:tab w:val="left" w:pos="1080"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评审方法和评审标准</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w:t>
      </w:r>
      <w:r>
        <w:rPr>
          <w:rFonts w:hint="eastAsia" w:ascii="宋体" w:hAnsi="宋体" w:cs="宋体"/>
          <w:b/>
          <w:bCs/>
          <w:szCs w:val="21"/>
        </w:rPr>
        <w:t xml:space="preserve">综合评分法</w:t>
      </w:r>
      <w:r>
        <w:rPr>
          <w:rFonts w:hint="eastAsia" w:ascii="宋体" w:hAnsi="宋体" w:cs="宋体"/>
          <w:szCs w:val="21"/>
        </w:rPr>
        <w:t xml:space="preserve">。综合评分法，是指响应文件满足磋商文件全部实质性要求且按评审因素的量化指标评审得分最高的供应商为成交候选供应商的评审方法。</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u w:val="single"/>
        </w:rPr>
        <w:t xml:space="preserve"> / </w:t>
      </w:r>
      <w:r>
        <w:rPr>
          <w:rFonts w:hint="eastAsia" w:ascii="宋体" w:hAnsi="宋体" w:cs="宋体"/>
          <w:szCs w:val="21"/>
        </w:rPr>
        <w:t xml:space="preserve">。</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确定</w:t>
      </w:r>
      <w:bookmarkStart w:id="615" w:name="_Toc151193716"/>
      <w:r/>
      <w:bookmarkStart w:id="616" w:name="_Toc127151546"/>
      <w:r/>
      <w:bookmarkStart w:id="617" w:name="_Toc151193788"/>
      <w:r/>
      <w:bookmarkStart w:id="618" w:name="_Toc150774646"/>
      <w:r/>
      <w:bookmarkStart w:id="619" w:name="_Toc226965736"/>
      <w:r/>
      <w:bookmarkStart w:id="620" w:name="_Toc264969236"/>
      <w:r/>
      <w:bookmarkStart w:id="621" w:name="_Toc164608815"/>
      <w:r/>
      <w:bookmarkStart w:id="622" w:name="_Toc151193934"/>
      <w:r/>
      <w:bookmarkStart w:id="623" w:name="_Toc164229241"/>
      <w:r/>
      <w:bookmarkStart w:id="624" w:name="_Toc265228384"/>
      <w:r/>
      <w:bookmarkStart w:id="625" w:name="_Toc150774751"/>
      <w:r/>
      <w:bookmarkStart w:id="626" w:name="_Toc151193860"/>
      <w:r/>
      <w:bookmarkStart w:id="627" w:name="_Toc226337242"/>
      <w:r/>
      <w:bookmarkStart w:id="628" w:name="_Toc150509297"/>
      <w:r/>
      <w:bookmarkStart w:id="629" w:name="_Toc195842911"/>
      <w:r/>
      <w:bookmarkStart w:id="630" w:name="_Toc127151747"/>
      <w:r/>
      <w:bookmarkStart w:id="631" w:name="_Toc151193644"/>
      <w:r/>
      <w:bookmarkStart w:id="632" w:name="_Ref467307010"/>
      <w:r/>
      <w:bookmarkStart w:id="633" w:name="_Toc164229387"/>
      <w:r/>
      <w:bookmarkStart w:id="634" w:name="_Toc127161460"/>
      <w:r/>
      <w:bookmarkStart w:id="635" w:name="_Toc305158814"/>
      <w:r/>
      <w:bookmarkStart w:id="636" w:name="_Toc305158888"/>
      <w:r/>
      <w:bookmarkStart w:id="637" w:name="_Toc226965819"/>
      <w:r/>
      <w:bookmarkStart w:id="638" w:name="_Toc164351640"/>
      <w:r/>
      <w:bookmarkStart w:id="639" w:name="_Toc150480784"/>
      <w:r/>
      <w:bookmarkStart w:id="640" w:name="_Toc520356170"/>
      <w:r/>
      <w:bookmarkStart w:id="641" w:name="_Toc164608660"/>
      <w:r/>
      <w:bookmarkStart w:id="642" w:name="_Toc151190173"/>
      <w:r/>
      <w:bookmarkStart w:id="643" w:name="_Toc149720839"/>
      <w:r/>
      <w:bookmarkStart w:id="644" w:name="_Toc226309790"/>
      <w:r/>
      <w:bookmarkStart w:id="645" w:name="_Toc142311048"/>
      <w:r>
        <w:rPr>
          <w:rFonts w:hint="eastAsia" w:ascii="宋体" w:hAnsi="宋体" w:cs="宋体"/>
          <w:szCs w:val="21"/>
        </w:rPr>
        <w:t xml:space="preserve">成交候选人名单</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报告违法行为</w:t>
      </w:r>
      <w:r/>
    </w:p>
    <w:p>
      <w:pPr>
        <w:numPr>
          <w:ilvl w:val="1"/>
          <w:numId w:val="11"/>
        </w:numPr>
        <w:ind w:left="1077" w:hanging="720"/>
        <w:jc w:val="left"/>
        <w:spacing w:line="360" w:lineRule="auto"/>
        <w:widowControl/>
        <w:tabs>
          <w:tab w:val="left" w:pos="1080" w:leader="none"/>
          <w:tab w:val="left" w:pos="1872" w:leader="none"/>
        </w:tabs>
        <w:rPr>
          <w:sz w:val="24"/>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b/>
          <w:bCs/>
          <w:sz w:val="24"/>
        </w:rPr>
      </w:pPr>
      <w:r>
        <w:rPr>
          <w:b/>
          <w:bCs/>
          <w:sz w:val="24"/>
        </w:rPr>
      </w:r>
      <w:r/>
    </w:p>
    <w:p>
      <w:pPr>
        <w:numPr>
          <w:ilvl w:val="0"/>
          <w:numId w:val="12"/>
        </w:numPr>
        <w:jc w:val="center"/>
        <w:spacing w:line="360" w:lineRule="auto"/>
        <w:widowControl/>
        <w:tabs>
          <w:tab w:val="left" w:pos="1080" w:leader="none"/>
          <w:tab w:val="left" w:pos="1872" w:leader="none"/>
        </w:tabs>
        <w:rPr>
          <w:b/>
          <w:bCs/>
          <w:sz w:val="24"/>
        </w:rPr>
      </w:pPr>
      <w:r>
        <w:rPr>
          <w:b/>
          <w:bCs/>
          <w:sz w:val="24"/>
        </w:rPr>
        <w:br w:type="page" w:clear="all"/>
      </w:r>
      <w:r>
        <w:rPr>
          <w:b/>
          <w:bCs/>
          <w:sz w:val="24"/>
        </w:rPr>
        <w:t xml:space="preserve">评</w:t>
      </w:r>
      <w:r>
        <w:rPr>
          <w:rFonts w:hint="eastAsia"/>
          <w:b/>
          <w:bCs/>
          <w:sz w:val="24"/>
        </w:rPr>
        <w:t xml:space="preserve">审</w:t>
      </w:r>
      <w:r>
        <w:rPr>
          <w:b/>
          <w:bCs/>
          <w:sz w:val="24"/>
        </w:rPr>
        <w:t xml:space="preserve">标准</w:t>
      </w:r>
      <w:r/>
    </w:p>
    <w:tbl>
      <w:tblPr>
        <w:tblStyle w:val="81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850"/>
        <w:gridCol w:w="738"/>
        <w:gridCol w:w="4959"/>
        <w:gridCol w:w="2196"/>
      </w:tblGrid>
      <w:tr>
        <w:trPr>
          <w:jc w:val="center"/>
          <w:trHeight w:val="23"/>
        </w:trPr>
        <w:tc>
          <w:tcPr>
            <w:tcW w:w="611"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序号</w:t>
            </w:r>
            <w:r/>
          </w:p>
        </w:tc>
        <w:tc>
          <w:tcPr>
            <w:tcW w:w="850"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评分</w:t>
            </w:r>
            <w:r/>
          </w:p>
          <w:p>
            <w:pPr>
              <w:jc w:val="center"/>
              <w:spacing w:line="312" w:lineRule="auto"/>
              <w:rPr>
                <w:rFonts w:hint="eastAsia" w:ascii="宋体" w:hAnsi="宋体" w:cs="宋体"/>
                <w:b/>
                <w:bCs/>
                <w:szCs w:val="21"/>
              </w:rPr>
            </w:pPr>
            <w:r>
              <w:rPr>
                <w:rFonts w:hint="eastAsia" w:ascii="宋体" w:hAnsi="宋体" w:cs="宋体"/>
                <w:b/>
                <w:bCs/>
                <w:szCs w:val="21"/>
              </w:rPr>
              <w:t xml:space="preserve">因素</w:t>
            </w:r>
            <w:r/>
          </w:p>
        </w:tc>
        <w:tc>
          <w:tcPr>
            <w:tcW w:w="738"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分值</w:t>
            </w:r>
            <w:r/>
          </w:p>
        </w:tc>
        <w:tc>
          <w:tcPr>
            <w:tcW w:w="4959"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评分标准</w:t>
            </w:r>
            <w:r/>
          </w:p>
        </w:tc>
        <w:tc>
          <w:tcPr>
            <w:tcW w:w="2196"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说明</w:t>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1</w:t>
            </w:r>
            <w:r/>
          </w:p>
        </w:tc>
        <w:tc>
          <w:tcPr>
            <w:tcW w:w="850"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价格分</w:t>
            </w:r>
            <w:r/>
          </w:p>
        </w:tc>
        <w:tc>
          <w:tcPr>
            <w:tcW w:w="738"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20分</w:t>
            </w:r>
            <w:r/>
          </w:p>
        </w:tc>
        <w:tc>
          <w:tcPr>
            <w:tcW w:w="4959"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满足磋商文件要求且最终报价最低的报价为评标基准价，其价格分为满分。其他供应商的价格分统一按照下列公式计算：价格分得分＝（评标基准价/最终报价）×分值；得分保留两位小数，计算结果四舍五入。</w:t>
            </w:r>
            <w:r/>
          </w:p>
        </w:tc>
        <w:tc>
          <w:tcPr>
            <w:tcW w:w="2196"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此处最终报价指经过报价修正，及因落实政府采购政策进行价格调整后的最终报价。</w:t>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2</w:t>
            </w:r>
            <w:r/>
          </w:p>
        </w:tc>
        <w:tc>
          <w:tcPr>
            <w:tcW w:w="850"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主观分</w:t>
            </w:r>
            <w:r/>
          </w:p>
        </w:tc>
        <w:tc>
          <w:tcPr>
            <w:tcW w:w="738"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38分</w:t>
            </w:r>
            <w:r/>
          </w:p>
        </w:tc>
        <w:tc>
          <w:tcPr>
            <w:tcW w:w="4959"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r>
            <w:r/>
          </w:p>
        </w:tc>
        <w:tc>
          <w:tcPr>
            <w:tcW w:w="2196"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2.1</w:t>
            </w:r>
            <w:r/>
          </w:p>
        </w:tc>
        <w:tc>
          <w:tcPr>
            <w:tcW w:w="850"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项目实施方案</w:t>
            </w:r>
            <w:r/>
          </w:p>
        </w:tc>
        <w:tc>
          <w:tcPr>
            <w:tcW w:w="738"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12分</w:t>
            </w:r>
            <w:r/>
          </w:p>
        </w:tc>
        <w:tc>
          <w:tcPr>
            <w:tcW w:w="4959"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根据供应商对项目实施方案进行评分，包括但不限于以下内容：</w:t>
            </w: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系统整体架构设计、进度计划</w:t>
            </w: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人员安排、</w:t>
            </w: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项目难点和要点分析、④风险与缓</w:t>
            </w:r>
            <w:r>
              <w:rPr>
                <w:rFonts w:hint="eastAsia" w:ascii="宋体" w:hAnsi="宋体" w:cs="宋体"/>
                <w:szCs w:val="21"/>
              </w:rPr>
              <w:t xml:space="preserve">解措施、⑤项目验收方案、⑥质量控制管理等方面；根据以上内容进行综合评审，上述内容完整详细且满足采购文件及采购需求的得12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312" w:lineRule="auto"/>
              <w:rPr>
                <w:rFonts w:hint="eastAsia" w:ascii="宋体" w:hAnsi="宋体" w:cs="宋体"/>
                <w:szCs w:val="21"/>
              </w:rPr>
            </w:pPr>
            <w:r>
              <w:rPr>
                <w:rFonts w:hint="eastAsia" w:ascii="宋体" w:hAnsi="宋体" w:cs="宋体"/>
                <w:b/>
                <w:bCs/>
                <w:szCs w:val="21"/>
              </w:rPr>
              <w:t xml:space="preserve">未提供方案不得分。</w:t>
            </w:r>
            <w:r/>
          </w:p>
        </w:tc>
        <w:tc>
          <w:tcPr>
            <w:tcW w:w="2196"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2.2</w:t>
            </w:r>
            <w:r/>
          </w:p>
        </w:tc>
        <w:tc>
          <w:tcPr>
            <w:tcW w:w="850"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系统运维服务方案</w:t>
            </w:r>
            <w:r/>
          </w:p>
        </w:tc>
        <w:tc>
          <w:tcPr>
            <w:tcW w:w="738"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8分</w:t>
            </w:r>
            <w:r/>
          </w:p>
        </w:tc>
        <w:tc>
          <w:tcPr>
            <w:tcW w:w="4959"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根据供应商的系统运维服务方案进行评分，包括但不限于以下内容：</w:t>
            </w: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日常监控与管理、②故障处理与</w:t>
            </w:r>
            <w:r>
              <w:rPr>
                <w:rFonts w:hint="eastAsia" w:ascii="宋体" w:hAnsi="宋体" w:cs="宋体"/>
                <w:szCs w:val="21"/>
              </w:rPr>
              <w:t xml:space="preserve">应急响应、③性能优化与升级、④安全防护与审计等；根据以上内容进行综合评审，上述内容完整详细且满足采购文件及采购需求的得8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312" w:lineRule="auto"/>
              <w:rPr>
                <w:rFonts w:hint="eastAsia" w:ascii="宋体" w:hAnsi="宋体" w:cs="宋体"/>
                <w:szCs w:val="21"/>
              </w:rPr>
            </w:pPr>
            <w:r>
              <w:rPr>
                <w:rFonts w:hint="eastAsia" w:ascii="宋体" w:hAnsi="宋体" w:cs="宋体"/>
                <w:b/>
                <w:bCs/>
                <w:szCs w:val="21"/>
              </w:rPr>
              <w:t xml:space="preserve">未提供方案不得分。</w:t>
            </w:r>
            <w:r/>
          </w:p>
        </w:tc>
        <w:tc>
          <w:tcPr>
            <w:tcW w:w="2196"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2.3</w:t>
            </w:r>
            <w:r/>
          </w:p>
        </w:tc>
        <w:tc>
          <w:tcPr>
            <w:tcW w:w="850"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培训</w:t>
            </w:r>
            <w:r/>
          </w:p>
          <w:p>
            <w:pPr>
              <w:jc w:val="center"/>
              <w:spacing w:line="312" w:lineRule="auto"/>
              <w:rPr>
                <w:rFonts w:hint="eastAsia" w:ascii="宋体" w:hAnsi="宋体" w:cs="宋体"/>
                <w:szCs w:val="21"/>
              </w:rPr>
            </w:pPr>
            <w:r>
              <w:rPr>
                <w:rFonts w:hint="eastAsia" w:ascii="宋体" w:hAnsi="宋体" w:cs="宋体"/>
                <w:szCs w:val="21"/>
              </w:rPr>
              <w:t xml:space="preserve">方案</w:t>
            </w:r>
            <w:r/>
          </w:p>
        </w:tc>
        <w:tc>
          <w:tcPr>
            <w:tcW w:w="738"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9分</w:t>
            </w:r>
            <w:r/>
          </w:p>
        </w:tc>
        <w:tc>
          <w:tcPr>
            <w:tcW w:w="4959" w:type="dxa"/>
            <w:vAlign w:val="center"/>
            <w:textDirection w:val="lrTb"/>
            <w:noWrap w:val="false"/>
          </w:tcPr>
          <w:p>
            <w:pPr>
              <w:spacing w:line="312" w:lineRule="auto"/>
              <w:rPr>
                <w:rFonts w:hint="eastAsia" w:ascii="宋体" w:hAnsi="宋体" w:cs="宋体"/>
                <w:szCs w:val="21"/>
              </w:rPr>
            </w:pPr>
            <w:r>
              <w:rPr>
                <w:rFonts w:hint="eastAsia" w:ascii="宋体" w:hAnsi="宋体" w:cs="宋体"/>
                <w:szCs w:val="21"/>
              </w:rPr>
              <w:t xml:space="preserve">根据供应商的培训方案进行评分，包括但不限于以下内容：</w:t>
            </w: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对医生、药学人员等不同对象的培训计划、</w:t>
            </w: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培训</w:t>
            </w:r>
            <w:r>
              <w:rPr>
                <w:rFonts w:hint="eastAsia" w:ascii="宋体" w:hAnsi="宋体" w:cs="宋体"/>
                <w:szCs w:val="21"/>
              </w:rPr>
              <w:t xml:space="preserve">课程安排、培训方式、③系统操作培训等方面；根据以上内容进行综合评审，上述内容完整详细且满足采购文件及采购需求的得9分，每缺失一项内容扣3分，方案每有一处存在错误或瑕疵的扣1.5分，扣完本项分值为止。（注：以上所述错误是指非专门针对本项目或不适用项目特性的情形， 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spacing w:line="312" w:lineRule="auto"/>
              <w:rPr>
                <w:rFonts w:hint="eastAsia" w:ascii="宋体" w:hAnsi="宋体" w:cs="宋体"/>
                <w:szCs w:val="21"/>
              </w:rPr>
            </w:pPr>
            <w:r>
              <w:rPr>
                <w:rFonts w:hint="eastAsia" w:ascii="宋体" w:hAnsi="宋体" w:cs="宋体"/>
                <w:b/>
                <w:bCs/>
                <w:szCs w:val="21"/>
              </w:rPr>
              <w:t xml:space="preserve">未提供方案不得分。</w:t>
            </w:r>
            <w:r/>
          </w:p>
        </w:tc>
        <w:tc>
          <w:tcPr>
            <w:tcW w:w="2196"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2.4</w:t>
            </w:r>
            <w:r/>
          </w:p>
        </w:tc>
        <w:tc>
          <w:tcPr>
            <w:tcW w:w="850"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售后服务方案</w:t>
            </w:r>
            <w:r/>
          </w:p>
        </w:tc>
        <w:tc>
          <w:tcPr>
            <w:tcW w:w="738"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9分</w:t>
            </w:r>
            <w:r/>
          </w:p>
        </w:tc>
        <w:tc>
          <w:tcPr>
            <w:tcW w:w="4959"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根据供应商对本项目的售后服务方案进行评分，包括但不限于以下内容：</w:t>
            </w:r>
            <w:r>
              <w:rPr>
                <w:rFonts w:hint="eastAsia" w:ascii="宋体" w:hAnsi="宋体" w:cs="宋体"/>
                <w:szCs w:val="21"/>
              </w:rPr>
              <w:fldChar w:fldCharType="begin"/>
            </w:r>
            <w:r>
              <w:rPr>
                <w:rFonts w:hint="eastAsia" w:ascii="宋体" w:hAnsi="宋体" w:cs="宋体"/>
                <w:szCs w:val="21"/>
              </w:rPr>
              <w:instrText xml:space="preserve"> = 1 \* GB3 </w:instrText>
            </w:r>
            <w:r>
              <w:rPr>
                <w:rFonts w:hint="eastAsia" w:ascii="宋体" w:hAnsi="宋体" w:cs="宋体"/>
                <w:szCs w:val="21"/>
              </w:rPr>
              <w:fldChar w:fldCharType="separate"/>
            </w:r>
            <w:r>
              <w:rPr>
                <w:rFonts w:hint="eastAsia" w:ascii="宋体" w:hAnsi="宋体" w:cs="宋体"/>
                <w:szCs w:val="21"/>
              </w:rPr>
              <w:t xml:space="preserve">①</w:t>
            </w:r>
            <w:r>
              <w:rPr>
                <w:rFonts w:hint="eastAsia" w:ascii="宋体" w:hAnsi="宋体" w:cs="宋体"/>
                <w:szCs w:val="21"/>
              </w:rPr>
              <w:fldChar w:fldCharType="end"/>
            </w:r>
            <w:r>
              <w:rPr>
                <w:rFonts w:hint="eastAsia" w:ascii="宋体" w:hAnsi="宋体" w:cs="宋体"/>
                <w:szCs w:val="21"/>
              </w:rPr>
              <w:t xml:space="preserve">响应速度、售后服务内容、</w:t>
            </w:r>
            <w:r>
              <w:rPr>
                <w:rFonts w:hint="eastAsia" w:ascii="宋体" w:hAnsi="宋体" w:cs="宋体"/>
                <w:color w:val="000000"/>
                <w:szCs w:val="21"/>
              </w:rPr>
              <w:t xml:space="preserve">响应次数、响应时间、</w:t>
            </w:r>
            <w:r>
              <w:rPr>
                <w:rFonts w:hint="eastAsia" w:ascii="宋体" w:hAnsi="宋体" w:cs="宋体"/>
                <w:szCs w:val="21"/>
              </w:rPr>
              <w:fldChar w:fldCharType="begin"/>
            </w:r>
            <w:r>
              <w:rPr>
                <w:rFonts w:hint="eastAsia" w:ascii="宋体" w:hAnsi="宋体" w:cs="宋体"/>
                <w:szCs w:val="21"/>
              </w:rPr>
              <w:instrText xml:space="preserve"> = 2 \* GB3 </w:instrText>
            </w:r>
            <w:r>
              <w:rPr>
                <w:rFonts w:hint="eastAsia" w:ascii="宋体" w:hAnsi="宋体" w:cs="宋体"/>
                <w:szCs w:val="21"/>
              </w:rPr>
              <w:fldChar w:fldCharType="separate"/>
            </w:r>
            <w:r>
              <w:rPr>
                <w:rFonts w:hint="eastAsia" w:ascii="宋体" w:hAnsi="宋体" w:cs="宋体"/>
                <w:szCs w:val="21"/>
              </w:rPr>
              <w:t xml:space="preserve">②</w:t>
            </w:r>
            <w:r>
              <w:rPr>
                <w:rFonts w:hint="eastAsia" w:ascii="宋体" w:hAnsi="宋体" w:cs="宋体"/>
                <w:szCs w:val="21"/>
              </w:rPr>
              <w:fldChar w:fldCharType="end"/>
            </w:r>
            <w:r>
              <w:rPr>
                <w:rFonts w:hint="eastAsia" w:ascii="宋体" w:hAnsi="宋体" w:cs="宋体"/>
                <w:szCs w:val="21"/>
              </w:rPr>
              <w:t xml:space="preserve">售后服务体系、故障解决方案、</w:t>
            </w: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技术人员保障及售后技术装备等；根据以上内容进行综合评审，上述内容完整详细且满足；采购文件及采购需求的得9分，每缺失一项内容扣3分，方案每有一处存在错误或瑕疵的扣1.5分，扣完本项分值为止。（注：以上所述错误是指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r/>
          </w:p>
          <w:p>
            <w:pPr>
              <w:jc w:val="left"/>
              <w:spacing w:line="312" w:lineRule="auto"/>
              <w:rPr>
                <w:rFonts w:hint="eastAsia" w:ascii="宋体" w:hAnsi="宋体" w:cs="宋体"/>
                <w:szCs w:val="21"/>
              </w:rPr>
            </w:pPr>
            <w:r>
              <w:rPr>
                <w:rFonts w:hint="eastAsia" w:ascii="宋体" w:hAnsi="宋体" w:cs="宋体"/>
                <w:b/>
                <w:bCs/>
                <w:szCs w:val="21"/>
              </w:rPr>
              <w:t xml:space="preserve">未提供方案不得分。</w:t>
            </w:r>
            <w:r/>
          </w:p>
        </w:tc>
        <w:tc>
          <w:tcPr>
            <w:tcW w:w="2196"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r>
            <w:r/>
          </w:p>
        </w:tc>
      </w:tr>
      <w:tr>
        <w:trPr>
          <w:jc w:val="center"/>
          <w:trHeight w:val="298"/>
        </w:trPr>
        <w:tc>
          <w:tcPr>
            <w:tcW w:w="611"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3</w:t>
            </w:r>
            <w:r/>
          </w:p>
        </w:tc>
        <w:tc>
          <w:tcPr>
            <w:tcW w:w="850"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客观分</w:t>
            </w:r>
            <w:r/>
          </w:p>
        </w:tc>
        <w:tc>
          <w:tcPr>
            <w:tcW w:w="738"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t xml:space="preserve">42分</w:t>
            </w:r>
            <w:r/>
          </w:p>
        </w:tc>
        <w:tc>
          <w:tcPr>
            <w:tcW w:w="4959" w:type="dxa"/>
            <w:vAlign w:val="center"/>
            <w:textDirection w:val="lrTb"/>
            <w:noWrap w:val="false"/>
          </w:tcPr>
          <w:p>
            <w:pPr>
              <w:jc w:val="center"/>
              <w:spacing w:line="312" w:lineRule="auto"/>
              <w:rPr>
                <w:rFonts w:hint="eastAsia" w:ascii="宋体" w:hAnsi="宋体" w:cs="宋体"/>
                <w:b/>
                <w:bCs/>
                <w:szCs w:val="21"/>
              </w:rPr>
            </w:pPr>
            <w:r>
              <w:rPr>
                <w:rFonts w:hint="eastAsia" w:ascii="宋体" w:hAnsi="宋体" w:cs="宋体"/>
                <w:b/>
                <w:bCs/>
                <w:szCs w:val="21"/>
              </w:rPr>
            </w:r>
            <w:r/>
          </w:p>
        </w:tc>
        <w:tc>
          <w:tcPr>
            <w:tcW w:w="2196"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3.1</w:t>
            </w:r>
            <w:r/>
          </w:p>
        </w:tc>
        <w:tc>
          <w:tcPr>
            <w:tcW w:w="850" w:type="dxa"/>
            <w:vAlign w:val="center"/>
            <w:textDirection w:val="lrTb"/>
            <w:noWrap w:val="false"/>
          </w:tcPr>
          <w:p>
            <w:pPr>
              <w:jc w:val="center"/>
              <w:spacing w:line="312" w:lineRule="auto"/>
              <w:rPr>
                <w:rFonts w:hint="eastAsia" w:ascii="宋体" w:hAnsi="宋体" w:cs="宋体"/>
                <w:bCs/>
                <w:szCs w:val="21"/>
                <w:highlight w:val="white"/>
              </w:rPr>
            </w:pPr>
            <w:r>
              <w:rPr>
                <w:rFonts w:hint="eastAsia" w:ascii="宋体" w:hAnsi="宋体" w:cs="宋体"/>
                <w:bCs/>
                <w:szCs w:val="21"/>
                <w:highlight w:val="white"/>
              </w:rPr>
              <w:t xml:space="preserve">技术</w:t>
            </w:r>
            <w:r/>
          </w:p>
          <w:p>
            <w:pPr>
              <w:jc w:val="center"/>
              <w:spacing w:line="312" w:lineRule="auto"/>
              <w:rPr>
                <w:rFonts w:hint="eastAsia" w:ascii="宋体" w:hAnsi="宋体" w:cs="宋体"/>
                <w:szCs w:val="21"/>
              </w:rPr>
            </w:pPr>
            <w:r>
              <w:rPr>
                <w:rFonts w:hint="eastAsia" w:ascii="宋体" w:hAnsi="宋体" w:cs="宋体"/>
                <w:bCs/>
                <w:szCs w:val="21"/>
                <w:highlight w:val="white"/>
              </w:rPr>
              <w:t xml:space="preserve">指标</w:t>
            </w:r>
            <w:r/>
          </w:p>
        </w:tc>
        <w:tc>
          <w:tcPr>
            <w:tcW w:w="738"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24分</w:t>
            </w:r>
            <w:r/>
          </w:p>
        </w:tc>
        <w:tc>
          <w:tcPr>
            <w:tcW w:w="4959" w:type="dxa"/>
            <w:vAlign w:val="center"/>
            <w:textDirection w:val="lrTb"/>
            <w:noWrap w:val="false"/>
          </w:tcPr>
          <w:p>
            <w:pPr>
              <w:ind w:left="-38"/>
              <w:jc w:val="left"/>
              <w:spacing w:line="312" w:lineRule="auto"/>
              <w:rPr>
                <w:rFonts w:hint="eastAsia" w:ascii="宋体" w:hAnsi="宋体" w:cs="宋体"/>
                <w:bCs/>
                <w:szCs w:val="21"/>
              </w:rPr>
            </w:pPr>
            <w:r>
              <w:rPr>
                <w:rFonts w:hint="eastAsia" w:ascii="宋体" w:hAnsi="宋体" w:cs="宋体"/>
                <w:bCs/>
                <w:szCs w:val="21"/>
              </w:rPr>
              <w:t xml:space="preserve">根据各供应商所投产品技术指标全部满足或优于采购文件要求的得24分，每有一项</w:t>
            </w:r>
            <w:r>
              <w:rPr>
                <w:rFonts w:hint="eastAsia" w:ascii="宋体" w:hAnsi="宋体" w:cs="宋体"/>
                <w:color w:val="000000"/>
                <w:szCs w:val="21"/>
              </w:rPr>
              <w:t xml:space="preserve">指标未响应或不满足</w:t>
            </w:r>
            <w:r>
              <w:rPr>
                <w:rFonts w:hint="eastAsia" w:ascii="宋体" w:hAnsi="宋体" w:cs="宋体"/>
                <w:bCs/>
                <w:szCs w:val="21"/>
              </w:rPr>
              <w:t xml:space="preserve">扣1分，扣完为止。</w:t>
            </w:r>
            <w:r/>
          </w:p>
          <w:p>
            <w:pPr>
              <w:ind w:left="-38"/>
              <w:jc w:val="left"/>
              <w:spacing w:line="312" w:lineRule="auto"/>
              <w:rPr>
                <w:rFonts w:hint="eastAsia" w:ascii="宋体" w:hAnsi="宋体" w:cs="宋体"/>
                <w:b/>
                <w:bCs/>
                <w:szCs w:val="21"/>
              </w:rPr>
            </w:pPr>
            <w:r>
              <w:rPr>
                <w:rFonts w:hint="eastAsia" w:ascii="宋体" w:hAnsi="宋体" w:cs="宋体"/>
                <w:b/>
                <w:bCs/>
                <w:szCs w:val="21"/>
                <w:lang w:val="zh-CN"/>
              </w:rPr>
              <w:t xml:space="preserve">注：</w:t>
            </w:r>
            <w:r>
              <w:rPr>
                <w:rFonts w:hint="eastAsia" w:ascii="宋体" w:hAnsi="宋体" w:cs="宋体"/>
                <w:b/>
                <w:bCs/>
                <w:szCs w:val="21"/>
              </w:rPr>
              <w:t xml:space="preserve">1、</w:t>
            </w:r>
            <w:r>
              <w:rPr>
                <w:rFonts w:hint="eastAsia" w:ascii="宋体" w:hAnsi="宋体" w:cs="宋体"/>
                <w:b/>
                <w:bCs/>
                <w:szCs w:val="21"/>
                <w:lang w:val="zh-CN"/>
              </w:rPr>
              <w:t xml:space="preserve">投标单位</w:t>
            </w:r>
            <w:r>
              <w:rPr>
                <w:rFonts w:hint="eastAsia" w:ascii="宋体" w:hAnsi="宋体" w:cs="宋体"/>
                <w:b/>
                <w:bCs/>
                <w:szCs w:val="21"/>
              </w:rPr>
              <w:t xml:space="preserve">本项内容如有超出或偏离，</w:t>
            </w:r>
            <w:r>
              <w:rPr>
                <w:rFonts w:hint="eastAsia" w:ascii="宋体" w:hAnsi="宋体" w:cs="宋体"/>
                <w:b/>
                <w:bCs/>
                <w:szCs w:val="21"/>
                <w:lang w:val="zh-CN"/>
              </w:rPr>
              <w:t xml:space="preserve">应</w:t>
            </w:r>
            <w:r>
              <w:rPr>
                <w:rFonts w:hint="eastAsia" w:ascii="宋体" w:hAnsi="宋体" w:cs="宋体"/>
                <w:b/>
                <w:bCs/>
                <w:szCs w:val="21"/>
              </w:rPr>
              <w:t xml:space="preserve">在</w:t>
            </w:r>
            <w:r>
              <w:rPr>
                <w:rFonts w:hint="eastAsia" w:ascii="宋体" w:hAnsi="宋体" w:cs="宋体"/>
                <w:b/>
                <w:bCs/>
                <w:szCs w:val="21"/>
                <w:lang w:val="zh-CN"/>
              </w:rPr>
              <w:t xml:space="preserve">响应文件《技术要求响应及偏离表》中逐条列出</w:t>
            </w:r>
            <w:r>
              <w:rPr>
                <w:rFonts w:hint="eastAsia" w:ascii="宋体" w:hAnsi="宋体" w:cs="宋体"/>
                <w:b/>
                <w:bCs/>
                <w:szCs w:val="21"/>
              </w:rPr>
              <w:t xml:space="preserve">超出或</w:t>
            </w:r>
            <w:r>
              <w:rPr>
                <w:rFonts w:hint="eastAsia" w:ascii="宋体" w:hAnsi="宋体" w:cs="宋体"/>
                <w:b/>
                <w:bCs/>
                <w:szCs w:val="21"/>
                <w:lang w:val="zh-CN"/>
              </w:rPr>
              <w:t xml:space="preserve">偏离情况。</w:t>
            </w:r>
            <w:r/>
          </w:p>
          <w:p>
            <w:pPr>
              <w:ind w:left="-38"/>
              <w:jc w:val="left"/>
              <w:spacing w:line="312" w:lineRule="auto"/>
              <w:rPr>
                <w:rFonts w:hint="eastAsia" w:ascii="宋体" w:hAnsi="宋体" w:cs="宋体"/>
                <w:b/>
                <w:bCs/>
                <w:szCs w:val="21"/>
              </w:rPr>
            </w:pPr>
            <w:r>
              <w:rPr>
                <w:rFonts w:hint="eastAsia" w:ascii="宋体" w:hAnsi="宋体" w:cs="宋体"/>
                <w:b/>
                <w:bCs/>
                <w:szCs w:val="21"/>
              </w:rPr>
              <w:t xml:space="preserve">2、技术条款中明确要求提供相关证明材料的，未提供的，评审时不予认可，作为负偏离处理。</w:t>
            </w:r>
            <w:r/>
          </w:p>
          <w:p>
            <w:pPr>
              <w:spacing w:line="312" w:lineRule="auto"/>
              <w:rPr>
                <w:rFonts w:hint="eastAsia" w:ascii="宋体" w:hAnsi="宋体" w:cs="宋体"/>
                <w:szCs w:val="21"/>
              </w:rPr>
            </w:pPr>
            <w:r>
              <w:rPr>
                <w:rFonts w:hint="eastAsia" w:ascii="宋体" w:hAnsi="宋体" w:cs="宋体"/>
                <w:b/>
                <w:bCs/>
                <w:szCs w:val="21"/>
              </w:rPr>
              <w:t xml:space="preserve">3、如有提供虚假技术参数的，一经发现作虚假应标处理。</w:t>
            </w:r>
            <w:r/>
          </w:p>
        </w:tc>
        <w:tc>
          <w:tcPr>
            <w:tcW w:w="2196" w:type="dxa"/>
            <w:vAlign w:val="center"/>
            <w:textDirection w:val="lrTb"/>
            <w:noWrap w:val="false"/>
          </w:tcPr>
          <w:p>
            <w:pPr>
              <w:spacing w:line="312" w:lineRule="auto"/>
              <w:rPr>
                <w:rFonts w:hint="eastAsia" w:ascii="宋体" w:hAnsi="宋体" w:cs="宋体"/>
                <w:b/>
                <w:bCs/>
                <w:szCs w:val="21"/>
              </w:rPr>
            </w:pPr>
            <w:r>
              <w:rPr>
                <w:rFonts w:hint="eastAsia" w:ascii="宋体" w:hAnsi="宋体" w:cs="宋体"/>
                <w:b/>
                <w:bCs/>
                <w:szCs w:val="21"/>
              </w:rPr>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3.2</w:t>
            </w:r>
            <w:r/>
          </w:p>
        </w:tc>
        <w:tc>
          <w:tcPr>
            <w:tcW w:w="850" w:type="dxa"/>
            <w:vAlign w:val="center"/>
            <w:textDirection w:val="lrTb"/>
            <w:noWrap w:val="false"/>
          </w:tcPr>
          <w:p>
            <w:pPr>
              <w:jc w:val="center"/>
              <w:spacing w:line="312" w:lineRule="auto"/>
              <w:rPr>
                <w:rFonts w:hint="eastAsia" w:ascii="宋体" w:hAnsi="宋体" w:cs="宋体"/>
                <w:bCs/>
                <w:szCs w:val="21"/>
                <w:highlight w:val="none"/>
              </w:rPr>
            </w:pPr>
            <w:r>
              <w:rPr>
                <w:rFonts w:hint="eastAsia" w:ascii="宋体" w:hAnsi="宋体" w:cs="宋体"/>
                <w:bCs/>
                <w:szCs w:val="21"/>
                <w:highlight w:val="none"/>
              </w:rPr>
              <w:t xml:space="preserve">综合</w:t>
            </w:r>
            <w:r/>
          </w:p>
          <w:p>
            <w:pPr>
              <w:jc w:val="center"/>
              <w:spacing w:line="312" w:lineRule="auto"/>
              <w:rPr>
                <w:rFonts w:hint="eastAsia" w:ascii="宋体" w:hAnsi="宋体" w:cs="宋体"/>
                <w:bCs/>
                <w:szCs w:val="21"/>
                <w:highlight w:val="none"/>
              </w:rPr>
            </w:pPr>
            <w:r>
              <w:rPr>
                <w:rFonts w:hint="eastAsia" w:ascii="宋体" w:hAnsi="宋体" w:cs="宋体"/>
                <w:bCs/>
                <w:szCs w:val="21"/>
                <w:highlight w:val="none"/>
              </w:rPr>
              <w:t xml:space="preserve">实力</w:t>
            </w:r>
            <w:r/>
          </w:p>
        </w:tc>
        <w:tc>
          <w:tcPr>
            <w:tcW w:w="738" w:type="dxa"/>
            <w:vAlign w:val="center"/>
            <w:textDirection w:val="lrTb"/>
            <w:noWrap w:val="false"/>
          </w:tcPr>
          <w:p>
            <w:pPr>
              <w:jc w:val="center"/>
              <w:spacing w:line="312"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tc>
        <w:tc>
          <w:tcPr>
            <w:tcW w:w="4959" w:type="dxa"/>
            <w:vAlign w:val="center"/>
            <w:textDirection w:val="lrTb"/>
            <w:noWrap w:val="false"/>
          </w:tcPr>
          <w:p>
            <w:pPr>
              <w:jc w:val="left"/>
              <w:spacing w:line="312" w:lineRule="auto"/>
              <w:rPr>
                <w:rFonts w:hint="eastAsia" w:ascii="宋体" w:hAnsi="宋体" w:cs="宋体"/>
                <w:color w:val="auto"/>
                <w:szCs w:val="21"/>
                <w:highlight w:val="none"/>
              </w:rPr>
            </w:pPr>
            <w:r>
              <w:rPr>
                <w:rFonts w:hint="eastAsia" w:ascii="宋体" w:hAnsi="宋体" w:cs="宋体"/>
                <w:szCs w:val="21"/>
                <w:highlight w:val="none"/>
              </w:rPr>
              <w:t xml:space="preserve">1、</w:t>
            </w:r>
            <w:r>
              <w:rPr>
                <w:rFonts w:hint="eastAsia" w:ascii="宋体" w:hAnsi="宋体" w:cs="宋体"/>
                <w:color w:val="auto"/>
                <w:szCs w:val="21"/>
                <w:highlight w:val="none"/>
              </w:rPr>
              <w:t xml:space="preserve">提供投标产品的软件著作权登记证书，得2分；</w:t>
            </w:r>
            <w:r/>
          </w:p>
          <w:p>
            <w:pPr>
              <w:jc w:val="left"/>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2、所投产品制造商具有ITSS证书，得2分；</w:t>
            </w:r>
            <w:r/>
          </w:p>
          <w:p>
            <w:pPr>
              <w:jc w:val="left"/>
              <w:spacing w:line="312" w:lineRule="auto"/>
              <w:rPr>
                <w:rFonts w:hint="eastAsia" w:ascii="宋体" w:hAnsi="宋体" w:cs="宋体"/>
                <w:b/>
                <w:bCs/>
                <w:szCs w:val="21"/>
                <w:highlight w:val="none"/>
              </w:rPr>
            </w:pPr>
            <w:r>
              <w:rPr>
                <w:rFonts w:hint="eastAsia" w:ascii="宋体" w:hAnsi="宋体" w:cs="宋体"/>
                <w:szCs w:val="21"/>
                <w:highlight w:val="none"/>
              </w:rPr>
              <w:t xml:space="preserve">3、所投产品制造商具备ISO9001质量管理体系认证证书、ISO20000信息技术服务管理体系认证证书及ISO27001信息安全管理体系认证证书</w:t>
            </w:r>
            <w:r>
              <w:rPr>
                <w:rFonts w:hint="eastAsia" w:ascii="宋体" w:hAnsi="宋体" w:cs="宋体"/>
                <w:szCs w:val="21"/>
                <w:highlight w:val="none"/>
                <w:lang w:eastAsia="zh-CN"/>
              </w:rPr>
              <w:t xml:space="preserve">，</w:t>
            </w:r>
            <w:r>
              <w:rPr>
                <w:rFonts w:hint="eastAsia" w:ascii="宋体" w:hAnsi="宋体" w:cs="宋体"/>
                <w:szCs w:val="21"/>
                <w:highlight w:val="none"/>
              </w:rPr>
              <w:t xml:space="preserve">每提供1</w:t>
            </w:r>
            <w:r>
              <w:rPr>
                <w:rFonts w:hint="eastAsia" w:ascii="宋体" w:hAnsi="宋体" w:cs="宋体"/>
                <w:szCs w:val="21"/>
                <w:highlight w:val="none"/>
                <w:lang w:val="en-US" w:eastAsia="zh-CN"/>
              </w:rPr>
              <w:t xml:space="preserve">个</w:t>
            </w:r>
            <w:r>
              <w:rPr>
                <w:rFonts w:hint="eastAsia" w:ascii="宋体" w:hAnsi="宋体" w:cs="宋体"/>
                <w:szCs w:val="21"/>
                <w:highlight w:val="none"/>
              </w:rPr>
              <w:t xml:space="preserve">得1分，</w:t>
            </w:r>
            <w:r>
              <w:rPr>
                <w:rFonts w:hint="eastAsia" w:ascii="宋体" w:hAnsi="宋体" w:cs="宋体"/>
                <w:szCs w:val="21"/>
                <w:highlight w:val="none"/>
                <w:lang w:val="en-US" w:eastAsia="zh-CN"/>
              </w:rPr>
              <w:t xml:space="preserve">最高得3分</w:t>
            </w:r>
            <w:r>
              <w:rPr>
                <w:rFonts w:hint="eastAsia" w:ascii="宋体" w:hAnsi="宋体" w:cs="宋体"/>
                <w:szCs w:val="21"/>
                <w:highlight w:val="none"/>
              </w:rPr>
              <w:t xml:space="preserve">。</w:t>
            </w:r>
            <w:r/>
          </w:p>
        </w:tc>
        <w:tc>
          <w:tcPr>
            <w:tcW w:w="2196" w:type="dxa"/>
            <w:vAlign w:val="center"/>
            <w:textDirection w:val="lrTb"/>
            <w:noWrap w:val="false"/>
          </w:tcPr>
          <w:p>
            <w:pPr>
              <w:spacing w:line="312" w:lineRule="auto"/>
              <w:rPr>
                <w:rFonts w:hint="eastAsia" w:ascii="宋体" w:hAnsi="宋体" w:cs="宋体"/>
                <w:b/>
                <w:bCs/>
                <w:szCs w:val="21"/>
              </w:rPr>
            </w:pPr>
            <w:r>
              <w:rPr>
                <w:rFonts w:hint="eastAsia" w:ascii="宋体" w:hAnsi="宋体" w:cs="宋体"/>
                <w:b/>
                <w:bCs/>
                <w:szCs w:val="21"/>
              </w:rPr>
              <w:t xml:space="preserve">响应文件内提供证书复印件并加盖公章，未提供不得分。</w:t>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3.3</w:t>
            </w:r>
            <w:r/>
          </w:p>
        </w:tc>
        <w:tc>
          <w:tcPr>
            <w:tcW w:w="850" w:type="dxa"/>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rPr>
              <w:t xml:space="preserve">拟投入本项目人员</w:t>
            </w:r>
            <w:r/>
          </w:p>
        </w:tc>
        <w:tc>
          <w:tcPr>
            <w:tcW w:w="738" w:type="dxa"/>
            <w:vAlign w:val="center"/>
            <w:textDirection w:val="lrTb"/>
            <w:noWrap w:val="false"/>
          </w:tcPr>
          <w:p>
            <w:pPr>
              <w:jc w:val="center"/>
              <w:spacing w:line="312"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tc>
        <w:tc>
          <w:tcPr>
            <w:tcW w:w="4959" w:type="dxa"/>
            <w:vAlign w:val="center"/>
            <w:textDirection w:val="lrTb"/>
            <w:noWrap w:val="false"/>
          </w:tcPr>
          <w:p>
            <w:pPr>
              <w:jc w:val="left"/>
              <w:spacing w:line="312" w:lineRule="auto"/>
              <w:rPr>
                <w:rFonts w:hint="eastAsia" w:ascii="宋体" w:hAnsi="宋体" w:cs="宋体"/>
                <w:szCs w:val="21"/>
                <w:highlight w:val="none"/>
              </w:rPr>
            </w:pPr>
            <w:r>
              <w:rPr>
                <w:rFonts w:hint="eastAsia" w:ascii="宋体" w:hAnsi="宋体" w:cs="宋体"/>
                <w:szCs w:val="21"/>
                <w:highlight w:val="none"/>
              </w:rPr>
              <w:t xml:space="preserve">拟投入项目团队成员具有药学专业背景或计算机信息技术等专业背景，团队成员具有执业药师证书、系统集成项目管理工程师证书、软件设计师证书、系统分析师证书、软件评测师证书，每提供1</w:t>
            </w:r>
            <w:r>
              <w:rPr>
                <w:rFonts w:hint="eastAsia" w:ascii="宋体" w:hAnsi="宋体" w:cs="宋体"/>
                <w:szCs w:val="21"/>
                <w:highlight w:val="none"/>
                <w:lang w:val="en-US" w:eastAsia="zh-CN"/>
              </w:rPr>
              <w:t xml:space="preserve">个</w:t>
            </w:r>
            <w:r>
              <w:rPr>
                <w:rFonts w:hint="eastAsia" w:ascii="宋体" w:hAnsi="宋体" w:cs="宋体"/>
                <w:szCs w:val="21"/>
                <w:highlight w:val="none"/>
              </w:rPr>
              <w:t xml:space="preserve">得1分，同一人不重复计分，此项最多得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p>
        </w:tc>
        <w:tc>
          <w:tcPr>
            <w:tcW w:w="2196" w:type="dxa"/>
            <w:vAlign w:val="center"/>
            <w:textDirection w:val="lrTb"/>
            <w:noWrap w:val="false"/>
          </w:tcPr>
          <w:p>
            <w:pPr>
              <w:spacing w:line="312" w:lineRule="auto"/>
              <w:rPr>
                <w:rFonts w:hint="eastAsia" w:ascii="宋体" w:hAnsi="宋体" w:cs="宋体"/>
                <w:b/>
                <w:bCs/>
                <w:szCs w:val="21"/>
              </w:rPr>
            </w:pPr>
            <w:r>
              <w:rPr>
                <w:rFonts w:hint="eastAsia" w:ascii="宋体" w:hAnsi="宋体" w:cs="宋体"/>
                <w:b/>
                <w:bCs/>
                <w:szCs w:val="21"/>
              </w:rPr>
              <w:t xml:space="preserve">须提供相应证书及供应商或投标产品制造商为其缴纳的近3个月社保证明，未提供不得分。</w:t>
            </w:r>
            <w:r/>
          </w:p>
        </w:tc>
      </w:tr>
      <w:tr>
        <w:trPr>
          <w:jc w:val="center"/>
          <w:trHeight w:val="23"/>
        </w:trPr>
        <w:tc>
          <w:tcPr>
            <w:tcW w:w="61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3.4</w:t>
            </w:r>
            <w:r/>
          </w:p>
        </w:tc>
        <w:tc>
          <w:tcPr>
            <w:tcW w:w="850"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企业</w:t>
            </w:r>
            <w:r/>
          </w:p>
          <w:p>
            <w:pPr>
              <w:jc w:val="center"/>
              <w:spacing w:line="312" w:lineRule="auto"/>
              <w:rPr>
                <w:rFonts w:hint="eastAsia" w:ascii="宋体" w:hAnsi="宋体" w:cs="宋体"/>
                <w:szCs w:val="21"/>
              </w:rPr>
            </w:pPr>
            <w:r>
              <w:rPr>
                <w:rFonts w:hint="eastAsia" w:ascii="宋体" w:hAnsi="宋体" w:cs="宋体"/>
                <w:szCs w:val="21"/>
              </w:rPr>
              <w:t xml:space="preserve">业绩</w:t>
            </w:r>
            <w:r/>
          </w:p>
        </w:tc>
        <w:tc>
          <w:tcPr>
            <w:tcW w:w="738"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8分</w:t>
            </w:r>
            <w:r/>
          </w:p>
        </w:tc>
        <w:tc>
          <w:tcPr>
            <w:tcW w:w="4959" w:type="dxa"/>
            <w:vAlign w:val="center"/>
            <w:textDirection w:val="lrTb"/>
            <w:noWrap w:val="false"/>
          </w:tcPr>
          <w:p>
            <w:pPr>
              <w:spacing w:line="312" w:lineRule="auto"/>
              <w:rPr>
                <w:rFonts w:hint="eastAsia" w:ascii="宋体" w:hAnsi="宋体" w:cs="宋体"/>
                <w:szCs w:val="21"/>
              </w:rPr>
            </w:pPr>
            <w:r>
              <w:rPr>
                <w:rFonts w:hint="eastAsia" w:ascii="宋体" w:hAnsi="宋体" w:cs="宋体"/>
                <w:szCs w:val="21"/>
              </w:rPr>
              <w:t xml:space="preserve">供应</w:t>
            </w:r>
            <w:r>
              <w:rPr>
                <w:rFonts w:hint="eastAsia" w:ascii="宋体" w:hAnsi="宋体" w:cs="宋体"/>
                <w:szCs w:val="21"/>
                <w:highlight w:val="none"/>
              </w:rPr>
              <w:t xml:space="preserve">商自2022年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月1日（以合同签订时间为准）至今有类似项目实施经验的，每提供一份得2分，最高得8分。</w:t>
            </w:r>
            <w:r/>
          </w:p>
        </w:tc>
        <w:tc>
          <w:tcPr>
            <w:tcW w:w="2196" w:type="dxa"/>
            <w:vAlign w:val="center"/>
            <w:textDirection w:val="lrTb"/>
            <w:noWrap w:val="false"/>
          </w:tcPr>
          <w:p>
            <w:pPr>
              <w:spacing w:line="312" w:lineRule="auto"/>
              <w:rPr>
                <w:rFonts w:hint="eastAsia" w:ascii="宋体" w:hAnsi="宋体" w:cs="宋体"/>
                <w:b/>
                <w:bCs/>
                <w:szCs w:val="21"/>
              </w:rPr>
            </w:pPr>
            <w:r>
              <w:rPr>
                <w:rFonts w:hint="eastAsia" w:ascii="宋体" w:hAnsi="宋体" w:cs="宋体"/>
                <w:b/>
                <w:bCs/>
                <w:szCs w:val="21"/>
              </w:rPr>
              <w:t xml:space="preserve">响应文件内提供合同复印件并加盖公章，未提供不得分。</w:t>
            </w:r>
            <w:r/>
          </w:p>
        </w:tc>
      </w:tr>
      <w:tr>
        <w:trPr>
          <w:jc w:val="center"/>
          <w:trHeight w:val="23"/>
        </w:trPr>
        <w:tc>
          <w:tcPr>
            <w:gridSpan w:val="2"/>
            <w:tcW w:w="1461"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合计</w:t>
            </w:r>
            <w:r/>
          </w:p>
        </w:tc>
        <w:tc>
          <w:tcPr>
            <w:tcW w:w="738"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100分</w:t>
            </w:r>
            <w:r/>
          </w:p>
        </w:tc>
        <w:tc>
          <w:tcPr>
            <w:tcW w:w="4959" w:type="dxa"/>
            <w:vAlign w:val="center"/>
            <w:textDirection w:val="lrTb"/>
            <w:noWrap w:val="false"/>
          </w:tcPr>
          <w:p>
            <w:pPr>
              <w:ind w:firstLine="28"/>
              <w:jc w:val="left"/>
              <w:spacing w:line="312" w:lineRule="auto"/>
              <w:rPr>
                <w:rFonts w:hint="eastAsia" w:ascii="宋体" w:hAnsi="宋体" w:cs="宋体"/>
                <w:b/>
                <w:bCs/>
                <w:szCs w:val="21"/>
              </w:rPr>
            </w:pPr>
            <w:r>
              <w:rPr>
                <w:rFonts w:hint="eastAsia" w:ascii="宋体" w:hAnsi="宋体" w:cs="宋体"/>
                <w:b/>
                <w:bCs/>
                <w:szCs w:val="21"/>
              </w:rPr>
            </w:r>
            <w:r/>
          </w:p>
        </w:tc>
        <w:tc>
          <w:tcPr>
            <w:tcW w:w="2196" w:type="dxa"/>
            <w:vAlign w:val="center"/>
            <w:textDirection w:val="lrTb"/>
            <w:noWrap w:val="false"/>
          </w:tcPr>
          <w:p>
            <w:pPr>
              <w:ind w:firstLine="28"/>
              <w:jc w:val="left"/>
              <w:spacing w:line="312"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b/>
          <w:szCs w:val="21"/>
        </w:rPr>
        <w:outlineLvl w:val="0"/>
      </w:pPr>
      <w:r>
        <w:rPr>
          <w:rFonts w:hint="eastAsia" w:ascii="宋体" w:hAnsi="宋体" w:cs="宋体"/>
          <w:b/>
          <w:szCs w:val="21"/>
        </w:rPr>
      </w:r>
      <w:r/>
    </w:p>
    <w:p>
      <w:pPr>
        <w:spacing w:line="360" w:lineRule="auto"/>
        <w:rPr>
          <w:rFonts w:hint="eastAsia" w:ascii="宋体" w:hAnsi="宋体" w:cs="宋体"/>
          <w:b/>
          <w:sz w:val="28"/>
          <w:szCs w:val="28"/>
          <w:highlight w:val="yellow"/>
        </w:rPr>
        <w:outlineLvl w:val="0"/>
      </w:pPr>
      <w:r>
        <w:rPr>
          <w:rFonts w:hint="eastAsia" w:ascii="宋体" w:hAnsi="宋体" w:cs="宋体"/>
          <w:b/>
          <w:szCs w:val="21"/>
        </w:rPr>
        <w:t xml:space="preserve">注： </w:t>
      </w:r>
      <w:r>
        <w:rPr>
          <w:rFonts w:hint="eastAsia"/>
          <w:b/>
          <w:szCs w:val="21"/>
        </w:rPr>
        <w:t xml:space="preserve">评审标准中要求提供的证明文件及资料通过“苏采云”政府采购一体化平台按对应评分项目（或数字编号）分别制作上传，必须保证内容具体、印章完整、清晰可辨。</w:t>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b/>
          <w:sz w:val="28"/>
          <w:szCs w:val="28"/>
        </w:rPr>
        <w:outlineLvl w:val="0"/>
      </w:pPr>
      <w:r>
        <w:rPr>
          <w:rFonts w:hint="eastAsia" w:ascii="宋体" w:hAnsi="宋体" w:cs="宋体"/>
          <w:b/>
          <w:sz w:val="28"/>
          <w:szCs w:val="28"/>
        </w:rPr>
      </w:r>
      <w:r/>
    </w:p>
    <w:p>
      <w:pPr>
        <w:jc w:val="center"/>
        <w:spacing w:line="360" w:lineRule="auto"/>
        <w:rPr>
          <w:rFonts w:hint="eastAsia" w:ascii="宋体" w:hAnsi="宋体" w:cs="宋体"/>
        </w:rPr>
        <w:outlineLvl w:val="0"/>
      </w:pPr>
      <w:r>
        <w:rPr>
          <w:rFonts w:hint="eastAsia" w:ascii="宋体" w:hAnsi="宋体" w:cs="宋体"/>
          <w:b/>
          <w:sz w:val="28"/>
          <w:szCs w:val="28"/>
        </w:rPr>
        <w:t xml:space="preserve">第四章  </w:t>
      </w:r>
      <w:bookmarkStart w:id="646" w:name="_Toc1417"/>
      <w:r>
        <w:rPr>
          <w:rFonts w:hint="eastAsia" w:ascii="宋体" w:hAnsi="宋体" w:cs="宋体"/>
          <w:b/>
          <w:sz w:val="28"/>
          <w:szCs w:val="28"/>
        </w:rPr>
        <w:t xml:space="preserve">采购需求</w:t>
      </w:r>
      <w:bookmarkEnd w:id="646"/>
      <w:r/>
      <w:r/>
    </w:p>
    <w:p>
      <w:pPr>
        <w:pStyle w:val="1069"/>
        <w:contextualSpacing/>
        <w:ind w:left="500" w:hanging="500"/>
        <w:spacing w:line="360" w:lineRule="auto"/>
        <w:rPr>
          <w:rFonts w:hint="eastAsia" w:ascii="宋体" w:hAnsi="宋体" w:cs="宋体"/>
          <w:b/>
          <w:szCs w:val="21"/>
        </w:rPr>
      </w:pPr>
      <w:r>
        <w:rPr>
          <w:rFonts w:hint="eastAsia" w:ascii="宋体" w:hAnsi="宋体" w:cs="宋体"/>
          <w:b/>
          <w:szCs w:val="21"/>
        </w:rPr>
        <w:t xml:space="preserve">一、采购标的</w:t>
      </w:r>
      <w:r/>
    </w:p>
    <w:p>
      <w:pPr>
        <w:contextualSpacing/>
        <w:spacing w:line="360" w:lineRule="auto"/>
        <w:rPr>
          <w:rFonts w:hint="eastAsia" w:ascii="宋体" w:hAnsi="宋体" w:cs="宋体"/>
          <w:bCs/>
          <w:szCs w:val="21"/>
        </w:rPr>
      </w:pPr>
      <w:r>
        <w:rPr>
          <w:rFonts w:hint="eastAsia" w:ascii="宋体" w:hAnsi="宋体" w:cs="宋体"/>
          <w:bCs/>
          <w:szCs w:val="21"/>
        </w:rPr>
        <w:t xml:space="preserve">1. 采购标的：溧阳市人民医院审方系统升级及扩容项目。</w:t>
      </w:r>
      <w:r/>
    </w:p>
    <w:p>
      <w:pPr>
        <w:contextualSpacing/>
        <w:spacing w:line="360" w:lineRule="auto"/>
        <w:rPr>
          <w:rFonts w:hint="eastAsia" w:ascii="宋体" w:hAnsi="宋体" w:cs="宋体"/>
          <w:bCs/>
          <w:szCs w:val="21"/>
        </w:rPr>
      </w:pPr>
      <w:r>
        <w:rPr>
          <w:rFonts w:hint="eastAsia" w:ascii="宋体" w:hAnsi="宋体" w:cs="宋体"/>
          <w:bCs/>
          <w:szCs w:val="21"/>
        </w:rPr>
        <w:t xml:space="preserve">2. 项目背景/项目概述：溧阳市区域智能审方系统建设项目是溧阳市卫健局为贯彻落实国家县域医共体建设与合理用药管理相关政策要求，依托溧阳市人民医院现有合理用药系统启动的升级建设项目，旨在解决基层医疗机构药师资源短缺、审方能力薄弱、用药风险识别不足等问题，全面提升区域内处方质量与药事服务水平。项目以溧阳市人民医院为核心单位，计划实现与全市17家社区卫生服务中心及市妇幼保健所的系统互联互通，构建统一标准、集中监管、实时干预的区域审方体</w:t>
      </w:r>
      <w:r>
        <w:rPr>
          <w:rFonts w:hint="eastAsia" w:ascii="宋体" w:hAnsi="宋体" w:cs="宋体"/>
          <w:bCs/>
          <w:szCs w:val="21"/>
        </w:rPr>
        <w:t xml:space="preserve">系，通过统一审方标准、事前干预预警、集中审核监管、数据可视化分析四大核心功能，在医共体内建立一致的临床用药规则库，实时提示处方开具过程中的配伍禁忌、用法用量错误、重复用药等风险，由县级医院或区域审方中心对基层处方进行集中复核，并支持处方点评、用药趋势分析、专项监测等药政管理决策功能。项目在技术层面采用“中心平台+多节点接入”架构，支持与各医疗机构HIS系统无缝对接，可满足日均数万条处方审核的高并发需求，涵盖区域智能审方引擎、处方实时干预与事后点评、审方大屏系统、数据采集与报表分析、多层级权限管理等功能模块。</w:t>
      </w:r>
      <w:r/>
    </w:p>
    <w:p>
      <w:pPr>
        <w:contextualSpacing/>
        <w:spacing w:line="360" w:lineRule="auto"/>
        <w:rPr>
          <w:rFonts w:hint="eastAsia" w:ascii="宋体" w:hAnsi="宋体" w:cs="宋体"/>
          <w:b/>
          <w:szCs w:val="21"/>
        </w:rPr>
      </w:pPr>
      <w:r>
        <w:rPr>
          <w:rFonts w:hint="eastAsia" w:ascii="宋体" w:hAnsi="宋体" w:cs="宋体"/>
          <w:bCs/>
          <w:szCs w:val="21"/>
        </w:rPr>
        <w:t xml:space="preserve">溧阳市人民医院根据《江苏省信息化支撑县域医共体业务协同与资源共享中心建设基本业务规范(2024版)(苏卫基层〔2024]8号)指引，积极部署，细化分工，加快推进区域审方中心建设进度，确保年底建成并试运行。</w:t>
      </w:r>
      <w:r/>
    </w:p>
    <w:p>
      <w:pPr>
        <w:pStyle w:val="1069"/>
        <w:contextualSpacing/>
        <w:ind w:left="500" w:hanging="500"/>
        <w:spacing w:line="360" w:lineRule="auto"/>
        <w:rPr>
          <w:rFonts w:hint="eastAsia" w:ascii="宋体" w:hAnsi="宋体" w:cs="宋体"/>
          <w:b/>
          <w:szCs w:val="21"/>
        </w:rPr>
      </w:pPr>
      <w:r>
        <w:rPr>
          <w:rFonts w:hint="eastAsia" w:ascii="宋体" w:hAnsi="宋体" w:cs="宋体"/>
          <w:b/>
          <w:szCs w:val="21"/>
        </w:rPr>
        <w:t xml:space="preserve">二、商务要求</w:t>
      </w:r>
      <w:r/>
    </w:p>
    <w:p>
      <w:pPr>
        <w:contextualSpacing/>
        <w:spacing w:line="360" w:lineRule="auto"/>
        <w:rPr>
          <w:rFonts w:hint="eastAsia" w:ascii="宋体" w:hAnsi="宋体" w:cs="宋体"/>
          <w:szCs w:val="21"/>
        </w:rPr>
      </w:pPr>
      <w:r>
        <w:rPr>
          <w:rFonts w:hint="eastAsia" w:ascii="宋体" w:hAnsi="宋体" w:cs="宋体"/>
          <w:szCs w:val="21"/>
        </w:rPr>
        <w:t xml:space="preserve">1.交付（实施）的时间（期限）：合同签订后6个月内完成。</w:t>
      </w:r>
      <w:r/>
    </w:p>
    <w:p>
      <w:pPr>
        <w:contextualSpacing/>
        <w:spacing w:line="360" w:lineRule="auto"/>
        <w:rPr>
          <w:rFonts w:hint="eastAsia" w:ascii="宋体" w:hAnsi="宋体" w:cs="宋体"/>
          <w:szCs w:val="21"/>
        </w:rPr>
      </w:pPr>
      <w:r>
        <w:rPr>
          <w:rFonts w:hint="eastAsia" w:ascii="宋体" w:hAnsi="宋体" w:cs="宋体"/>
          <w:szCs w:val="21"/>
        </w:rPr>
        <w:t xml:space="preserve">2.地点（范围）：甲方指定地点。</w:t>
      </w:r>
      <w:r/>
    </w:p>
    <w:p>
      <w:pPr>
        <w:contextualSpacing/>
        <w:spacing w:line="360" w:lineRule="auto"/>
        <w:rPr>
          <w:rFonts w:hint="eastAsia" w:ascii="宋体" w:hAnsi="宋体" w:cs="宋体"/>
          <w:b/>
          <w:szCs w:val="21"/>
        </w:rPr>
      </w:pPr>
      <w:r>
        <w:rPr>
          <w:rFonts w:hint="eastAsia" w:ascii="宋体" w:hAnsi="宋体" w:cs="宋体"/>
          <w:szCs w:val="21"/>
        </w:rPr>
        <w:t xml:space="preserve">3.付款条件（进度和方式）：合同签订后，甲方向乙方支付合同总金额（含税）30%的首付款，本合同产品安装调试完成并验收合格后三十日内，甲方向乙方支付本合同总金额60%的款项，剩余10%的款项，应在本合同产品验收合格一年后三十日内一次性支付给乙方。</w:t>
      </w:r>
      <w:r/>
    </w:p>
    <w:p>
      <w:pPr>
        <w:spacing w:line="360" w:lineRule="auto"/>
        <w:tabs>
          <w:tab w:val="left" w:pos="284" w:leader="none"/>
        </w:tabs>
        <w:rPr>
          <w:rFonts w:hint="eastAsia" w:ascii="宋体" w:hAnsi="宋体" w:cs="宋体"/>
          <w:b/>
          <w:szCs w:val="21"/>
        </w:rPr>
      </w:pPr>
      <w:r>
        <w:rPr>
          <w:rFonts w:hint="eastAsia" w:ascii="宋体" w:hAnsi="宋体" w:cs="宋体"/>
          <w:b/>
          <w:szCs w:val="21"/>
        </w:rPr>
        <w:t xml:space="preserve">三、采购内容</w:t>
      </w:r>
      <w:r/>
    </w:p>
    <w:tbl>
      <w:tblPr>
        <w:tblStyle w:val="813"/>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4085"/>
        <w:gridCol w:w="3638"/>
        <w:gridCol w:w="805"/>
      </w:tblGrid>
      <w:tr>
        <w:trPr>
          <w:jc w:val="center"/>
          <w:trHeight w:val="23"/>
        </w:trPr>
        <w:tc>
          <w:tcPr>
            <w:tcW w:w="44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18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名称</w:t>
            </w:r>
            <w:r/>
          </w:p>
        </w:tc>
        <w:tc>
          <w:tcPr>
            <w:tcW w:w="194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技术要求</w:t>
            </w:r>
            <w:r/>
          </w:p>
        </w:tc>
        <w:tc>
          <w:tcPr>
            <w:tcW w:w="43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数量</w:t>
            </w:r>
            <w:r/>
          </w:p>
        </w:tc>
      </w:tr>
      <w:tr>
        <w:trPr>
          <w:jc w:val="center"/>
          <w:trHeight w:val="23"/>
        </w:trPr>
        <w:tc>
          <w:tcPr>
            <w:tcW w:w="442" w:type="pct"/>
            <w:vAlign w:val="center"/>
            <w:textDirection w:val="lrTb"/>
            <w:noWrap w:val="false"/>
          </w:tcPr>
          <w:p>
            <w:pPr>
              <w:pStyle w:val="1242"/>
              <w:ind w:firstLine="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83"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highlight w:val="white"/>
              </w:rPr>
              <w:t xml:space="preserve">溧阳市人民医院审方系统升级及扩容</w:t>
            </w:r>
            <w:r/>
          </w:p>
        </w:tc>
        <w:tc>
          <w:tcPr>
            <w:tcW w:w="1944"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详见下列详细技术参数</w:t>
            </w:r>
            <w:r/>
          </w:p>
        </w:tc>
        <w:tc>
          <w:tcPr>
            <w:tcW w:w="430" w:type="pct"/>
            <w:vAlign w:val="center"/>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r>
    </w:tbl>
    <w:p>
      <w:pPr>
        <w:pStyle w:val="1239"/>
        <w:ind w:firstLine="0"/>
        <w:spacing w:line="360" w:lineRule="auto"/>
        <w:rPr>
          <w:rFonts w:hint="eastAsia" w:ascii="宋体" w:hAnsi="宋体" w:cs="宋体"/>
          <w:color w:val="000000"/>
          <w:szCs w:val="21"/>
          <w:highlight w:val="none"/>
          <w:lang w:bidi="ar"/>
        </w:rPr>
      </w:pPr>
      <w:r>
        <w:rPr>
          <w:rFonts w:hint="eastAsia" w:ascii="宋体" w:hAnsi="宋体" w:cs="宋体"/>
          <w:color w:val="000000"/>
          <w:szCs w:val="21"/>
          <w:lang w:bidi="ar"/>
        </w:rPr>
        <w:t xml:space="preserve">注：硬件配置包含4台审方专用电脑、1台不小于75英寸的LED/液晶拼接大屏及1台配套电视</w:t>
      </w:r>
      <w:r>
        <w:rPr>
          <w:rFonts w:hint="eastAsia" w:ascii="宋体" w:hAnsi="宋体" w:cs="宋体"/>
          <w:color w:val="000000"/>
          <w:szCs w:val="21"/>
          <w:highlight w:val="none"/>
          <w:lang w:bidi="ar"/>
        </w:rPr>
        <w:t xml:space="preserve">，并兼容主流HIS、EMR厂商数据对接需求。</w:t>
      </w:r>
      <w:r/>
    </w:p>
    <w:p>
      <w:pPr>
        <w:pStyle w:val="1239"/>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四、功能参数要求</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（一）总体要求</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（1）系统设计科学、合理，系统使用方便。</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（2）供应商应提供覆盖全面的知识库。</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西药/中成药：参照NMPA，排除原料药及其它，覆盖药品品种不少于160000个；中药饮片：参照中国药典/临床用药须知及各省份炮制规范。</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（3）供应商须承诺完全开放自定义知识库（说明书、规则），用户依据权限可以完全自主查看、新增、修改、删除。</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（4）供应商须提供知识库验证工具，用户可以模拟医生开具处方/医嘱、查看资料，以验证系统规则以及自定义规则的合理性和有效性，验证过程不能干扰医生实际开具处方/医嘱。</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（5）要求以B/S架构部署，软件系统以浏览器为统一操作界面。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（6）系统和医院信息系统的对接，可通过多种接口方式进行，以达到实时干预、实时审方、实时分析的效果。</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（7）性能要求：系统引擎审查平均响应时间应小于0.5秒，支持不小于300并发用户，并要求提供第三方权威评测机构的证明材料（原件备查）。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（二）用药规则管理系统</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2.1标准规则库</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（1）医生临床用药干预、药师审方及处方/医嘱分析标准统一，使用统一的用药管理知识库；</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（2）系统提供1套初始化的说明书规则集，自定义知识库规则内容可视可验证；</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说明书规则集是以药品说明书为基础，结合数百家医疗机构临床实际用药情况与经验，总结优化形成的规则集，已覆盖已上市药品的合理性审查。该知识库贴近临床，应用性高、精准性强，大部分医疗机构可在无需更改的情况下直接使用。知识库规则通过问题类型及警示等级等多个维度将临床用药问题合理划分，具体审查规则覆盖内容如下：</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给药途径：设置药品适宜与不适宜的给药途径；</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用法用量</w:t>
      </w:r>
      <w:r/>
    </w:p>
    <w:p>
      <w:pPr>
        <w:numPr>
          <w:ilvl w:val="0"/>
          <w:numId w:val="14"/>
        </w:numPr>
        <w:spacing w:line="360" w:lineRule="auto"/>
        <w:shd w:val="clear" w:color="auto" w:fill="ffffff"/>
        <w:rPr>
          <w:rFonts w:hint="eastAsia" w:ascii="宋体" w:hAnsi="宋体" w:cs="宋体"/>
          <w:color w:val="000000"/>
          <w:szCs w:val="21"/>
        </w:rPr>
      </w:pPr>
      <w:r>
        <w:rPr>
          <w:rFonts w:hint="eastAsia" w:ascii="宋体" w:hAnsi="宋体" w:cs="宋体"/>
          <w:color w:val="000000"/>
          <w:szCs w:val="21"/>
          <w:highlight w:val="none"/>
        </w:rPr>
        <w:t xml:space="preserve">给药频率：结合患者年龄、性别、体重、体表面积、孕产状态、诊断、肝功能（通过患者诊断或谷丙转氨酶、谷草转氨酶、碱性磷酸酶、总胆红素等指标）、肾功能（eGFR指标）、检验指标（中性粒细胞、白细胞、血小板、血红蛋白、白蛋白、血钾、血钙、血镁、甘油三酯、胆红素、谷丙转氨酶、谷草转氨酶、国际标准化比值、尿蛋白定性试验、血葡萄糖、血钠、血磷、血氨、肌酸激酶、同型半胱氨酸、尿素、肾小球滤过率）</w:t>
      </w:r>
      <w:r>
        <w:rPr>
          <w:rFonts w:hint="eastAsia" w:ascii="宋体" w:hAnsi="宋体" w:cs="宋体"/>
          <w:color w:val="000000"/>
          <w:szCs w:val="21"/>
        </w:rPr>
        <w:t xml:space="preserve">、给药途径、合并用药（合用药嘱的剂量、频率、给药途径）等判断条件设置药品的给药频率审查规则；</w:t>
      </w:r>
      <w:r/>
    </w:p>
    <w:p>
      <w:pPr>
        <w:numPr>
          <w:ilvl w:val="0"/>
          <w:numId w:val="14"/>
        </w:num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给药时机：结合诊断等判断条件，设置药品的给药时机审查规则；</w:t>
      </w:r>
      <w:r/>
    </w:p>
    <w:p>
      <w:pPr>
        <w:numPr>
          <w:ilvl w:val="0"/>
          <w:numId w:val="1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rPr>
        <w:t xml:space="preserve">剂量：结合患者年龄、性别、体重、体表面积、孕产状态、诊断、肝功能（患者诊断或谷丙转氨酶、谷草转氨酶、碱性磷酸酶、总胆红素等指标）、肾功能（eGFR指标）、检验指标（中性粒细胞、白细胞、血小板、血红蛋白、白蛋白、血钾、血钙、血镁、甘油三酯、胆红素、谷丙转氨酶、谷草转氨酶、国际标准化比值）、给药途径、合并用药（合用药嘱的剂量、频</w:t>
      </w:r>
      <w:r>
        <w:rPr>
          <w:rFonts w:hint="eastAsia" w:ascii="宋体" w:hAnsi="宋体" w:cs="宋体"/>
          <w:color w:val="000000"/>
          <w:szCs w:val="21"/>
          <w:highlight w:val="none"/>
        </w:rPr>
        <w:t xml:space="preserve">率、给药途径）等判断条件设置药品的每次剂量（包括每公斤剂量、每体表面积剂量）、日剂量（包括每公斤剂量、每体表面积剂量）审查规则，还分别对长期医嘱和临时医嘱（st、once）单次剂量进行设置；</w:t>
      </w:r>
      <w:r/>
    </w:p>
    <w:p>
      <w:pPr>
        <w:numPr>
          <w:ilvl w:val="0"/>
          <w:numId w:val="1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儿童剂量：设置儿童剂量多维度审查，儿童剂量符合参考标准中年龄和体重任一条件，均判断为合理的剂量；</w:t>
      </w:r>
      <w:r/>
    </w:p>
    <w:p>
      <w:pPr>
        <w:numPr>
          <w:ilvl w:val="0"/>
          <w:numId w:val="1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药品成分剂量：肿瘤用药和心血管系统复方制剂，按其成分进行剂量的合并计算，实现同药品成分累计剂量、累计日剂量的审查； </w:t>
      </w:r>
      <w:r/>
    </w:p>
    <w:p>
      <w:pPr>
        <w:numPr>
          <w:ilvl w:val="0"/>
          <w:numId w:val="1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异常剂量：结合年龄、诊断等判断条件，设置成品输液型药品、小容量注射剂和口服药品设置异常剂量（80岁以上老年患者和14岁以下儿童患者，每次或每天剂量不得超过1倍最大推荐剂量；其他患者，每次或每天剂量不得超过2倍最大推荐剂量；14岁以上患者每次或每天剂量不得低于1/5最小推荐剂量）审查规则；设置所有缓释片、控释片、肠溶片等对分剂量服用有特定要求的药品，每次剂量是否为合理可分剂量的审查规则；</w:t>
      </w:r>
      <w:r/>
    </w:p>
    <w:p>
      <w:pPr>
        <w:numPr>
          <w:ilvl w:val="0"/>
          <w:numId w:val="1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累计剂量：结合年龄、体重等判断条件设置某药品或某药品成分累计剂量审查规则；</w:t>
      </w:r>
      <w:r/>
    </w:p>
    <w:p>
      <w:pPr>
        <w:numPr>
          <w:ilvl w:val="0"/>
          <w:numId w:val="1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校正剂量：实现校正剂量的审查，对涉及体重、体表面积的口服药品计算出的非整数剂量的校正，提高审查准确率。</w:t>
      </w:r>
      <w:r/>
    </w:p>
    <w:p>
      <w:pPr>
        <w:numPr>
          <w:ilvl w:val="0"/>
          <w:numId w:val="1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疗程：结合诊断等判断条件，设置门诊处方药品和出院带药的疗程和发药数量；对于住院医嘱，设置药品的持续时间；</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相互作用：结合患者诊断、检验指标（中性粒细胞、白细胞、血小板、血红蛋白、白蛋白、血钾、血钙、血镁、甘油三酯、胆红素、谷丙转氨酶、谷草转氨酶、国际标准化比值）、药品或合用药品（剂量、频率、给药途径）等判断条件，设置某类药品、某几个药品某些药物属性（如易致QT间期延长药物、CYP3A4强抑制剂、CYP2C19抑制药、单胺氧化酶抑制剂等）的药品以及含有某个辅料（乙醇）的药品之间两两同时使用存在相互作用的审查规则；中药饮片十八反十九畏；</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重复用药：结合患者诊断、药品给药途径等判断条件，设置某类药品、某几个药品存在重复用药审查规则；中成药与西药的重复用药；可自定义配置长期医嘱和临床医嘱是否警示重复用药；</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配伍禁忌：结合给药途径等判断条件，设置药品配伍（包括溶媒选择、溶媒用量、同组药品配伍、溶媒是否添加）的审查规则；</w:t>
      </w:r>
      <w:r/>
    </w:p>
    <w:p>
      <w:pPr>
        <w:numPr>
          <w:ilvl w:val="0"/>
          <w:numId w:val="1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溶媒用量：采用浓度或体积结合给药途径等判断条件，设置药品的浓度/体积审查规则；</w:t>
      </w:r>
      <w:r/>
    </w:p>
    <w:p>
      <w:pPr>
        <w:numPr>
          <w:ilvl w:val="0"/>
          <w:numId w:val="1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钾离子浓度专项审查：设置当同组注射药品有一个或多个含钾药物情况下，该组注射剂的钾离子总浓度审查规则；</w:t>
      </w:r>
      <w:r/>
    </w:p>
    <w:p>
      <w:pPr>
        <w:numPr>
          <w:ilvl w:val="0"/>
          <w:numId w:val="1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溶媒选择：设置溶媒选择是否合理的审查规则；</w:t>
      </w:r>
      <w:r/>
    </w:p>
    <w:p>
      <w:pPr>
        <w:numPr>
          <w:ilvl w:val="0"/>
          <w:numId w:val="1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注射用水：对于只可用注射用水稀释的注射剂，设置同组输液中是否含有注射用水的审查规则；</w:t>
      </w:r>
      <w:r/>
    </w:p>
    <w:p>
      <w:pPr>
        <w:numPr>
          <w:ilvl w:val="0"/>
          <w:numId w:val="1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同组药品配伍：设置同组药品是否存在配伍禁忌的审查规则；</w:t>
      </w:r>
      <w:r/>
    </w:p>
    <w:p>
      <w:pPr>
        <w:numPr>
          <w:ilvl w:val="0"/>
          <w:numId w:val="1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溶媒是否添加：注射剂静脉注射给药时，设置是否添加溶媒的的审查规则；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特殊人群：</w:t>
      </w:r>
      <w:r/>
    </w:p>
    <w:p>
      <w:pPr>
        <w:numPr>
          <w:ilvl w:val="0"/>
          <w:numId w:val="1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儿童、老年人、成人：结合诊断、体重等判断条件，设置儿童、老年人、特定年龄患者禁、慎用药品的审查规则；</w:t>
      </w:r>
      <w:r/>
    </w:p>
    <w:p>
      <w:pPr>
        <w:numPr>
          <w:ilvl w:val="0"/>
          <w:numId w:val="1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妊娠期、哺乳期妇女：通过结合诊断（关键词匹配或ICD-10编码）、妊娠状态、哺乳状态、孕周、检验指标，设置妊娠期、哺乳期妇女禁、慎用药品的审查规则；</w:t>
      </w:r>
      <w:r/>
    </w:p>
    <w:p>
      <w:pPr>
        <w:numPr>
          <w:ilvl w:val="0"/>
          <w:numId w:val="1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性别：结合诊断等判断条件，设置不同性别禁、慎用药品的审查规则； </w:t>
      </w:r>
      <w:r/>
    </w:p>
    <w:p>
      <w:pPr>
        <w:numPr>
          <w:ilvl w:val="0"/>
          <w:numId w:val="1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肝功能异常患者：通过病人特征字典（结合患者诊断或谷丙转氨酶、谷草转氨酶、碱性磷酸酶、总胆红素等指标），设置肝功能异常患者禁、慎用药品的审查规则；</w:t>
      </w:r>
      <w:r/>
    </w:p>
    <w:p>
      <w:pPr>
        <w:numPr>
          <w:ilvl w:val="0"/>
          <w:numId w:val="1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肾功能异常患者：通过病人特征字典（结合患者诊断、通过血肌酐值计算得到的eGFR指标），设置肾功能异常患者禁、慎用药品的审查规则；</w:t>
      </w:r>
      <w:r/>
    </w:p>
    <w:p>
      <w:pPr>
        <w:numPr>
          <w:ilvl w:val="0"/>
          <w:numId w:val="1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检验指标异常：设置患者相关检验指标（中性粒细胞、白细胞、血小板、血红蛋白、白蛋白、血钾、血钙、血镁、甘油三酯、胆红素、谷丙转氨酶、谷草转氨酶、国际标准化比值、尿蛋白定性试验、血葡萄糖、血钠、血磷、血氨、肌酸激酶、同型半胱氨酸、尿素、肾小球滤过率）异常情况下禁用或慎用药品审查规则；</w:t>
      </w:r>
      <w:r/>
    </w:p>
    <w:p>
      <w:pPr>
        <w:numPr>
          <w:ilvl w:val="0"/>
          <w:numId w:val="1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存在不良反应：根据国家药品不良反应监测中心发布《药品不良反应信息通报》内容，通过诊断（关键词匹配或ICD10编码）设置存在药品不良反应类似疾病情况或状态的患者用药提醒规则或患者所用药品存在的严重不良反应提醒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过敏：设置对某类药品、某个药品以及某个或某类辅料（乙醇、苯甲醇）的药品过敏禁、慎用的药品审查规则； </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禁忌症：通过病人特征字典（支持关键词匹配或ICD10编码）设置不同疾病禁用的药品（西医诊断和中医诊断）审查规则；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适应症：通过病人特征字典（支持关键词匹配或ICD10编码）设置药品适应症（西医诊断和中医诊断）相关审查规则；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中成药管理：</w:t>
      </w:r>
      <w:r/>
    </w:p>
    <w:p>
      <w:pPr>
        <w:ind w:left="126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同西药，规则全覆盖（适应症：根据西医诊断ICD）；（中成药的此分支覆盖按照医院目录需求覆盖）；</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中药饮片管理：依据2020版《中国药典》及《临床用药须知》，设置十八反十九畏、毒性药物用法用量、孕产、给药途径相关审查规则；</w:t>
      </w:r>
      <w:r/>
    </w:p>
    <w:p>
      <w:pPr>
        <w:numPr>
          <w:ilvl w:val="0"/>
          <w:numId w:val="17"/>
        </w:numPr>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管理规则： </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1）中药饮片的药味数量管控：如普通患者单张处方不得超过20种药味；特殊患者（肿瘤患者）单张处方不得超过25种药味；</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2）疗程帖数管控：如中药饮片处方不得超过7天/14天/1月用量（按具体饮片设定）；</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3）单贴金额管控：如单张中药饮片处方金额不得超过N元；</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4）部分药物的超量管控（限疾病、限医生等）：如毒性药物巴豆霜，肿瘤患者用量不得超过4.2g；</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5）</w:t>
      </w:r>
      <w:r>
        <w:rPr>
          <w:rFonts w:hint="eastAsia" w:ascii="宋体" w:hAnsi="宋体" w:cs="宋体"/>
          <w:szCs w:val="21"/>
          <w:highlight w:val="none"/>
          <w:shd w:val="clear" w:color="auto" w:fill="ffffff"/>
        </w:rPr>
        <w:t xml:space="preserve">处方剂量管控：如中药饮片处方剂量一般应控制在240g以内，原则上不能超过300g；</w:t>
      </w:r>
      <w:r/>
    </w:p>
    <w:p>
      <w:pPr>
        <w:numPr>
          <w:ilvl w:val="0"/>
          <w:numId w:val="17"/>
        </w:numPr>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饮片规则：</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1）给药途径（有特别要求给药途径，如生川乌—本品有大毒，未经炮制，不宜内服等）、特殊用法（脚注，如先煎、后下、另煎等）、孕产、配伍禁忌/相互作用(十八反十九畏)、肾功能、肝功能、毒性饮片管控（包括毒性饮片用量、毒性饮片属性）、整体用量管控规则；根据既设的饮片常规剂量的上下限进行异常用药剂量管控；</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2）异常用药剂量管控：主要用于基于饮片常规剂量上下限的整体用药管控；单药和整体均可进行管控；</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异常剂量的规则实现（整体管控）：</w:t>
      </w:r>
      <w:r/>
    </w:p>
    <w:p>
      <w:pPr>
        <w:ind w:left="84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毒性药物的常用剂量上下限的N倍管控；（N值由医院自定义设定） </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特殊使用提醒：肿瘤注射药品需要避光输注、冲管的，提醒医生用药需要注意该问题；肿瘤注射药品有特殊的滴速、输注速度，告知医生其适宜的滴速、输注速度；</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抗菌药物管理：</w:t>
      </w:r>
      <w:r/>
    </w:p>
    <w:p>
      <w:pPr>
        <w:numPr>
          <w:ilvl w:val="0"/>
          <w:numId w:val="1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围术期用药：设置围手术期用药相关审查规则；</w:t>
      </w:r>
      <w:r/>
    </w:p>
    <w:p>
      <w:pPr>
        <w:numPr>
          <w:ilvl w:val="0"/>
          <w:numId w:val="1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抗菌药物越权用药：根据住院和门急诊不同的管控要求，设置抗菌药物使用权限审查规则；</w:t>
      </w:r>
      <w:r/>
    </w:p>
    <w:p>
      <w:pPr>
        <w:pStyle w:val="1239"/>
        <w:numPr>
          <w:ilvl w:val="0"/>
          <w:numId w:val="1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门诊抗菌药物输液管理：设置门诊抗菌药物药物输液管理审查规则；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精、麻、毒、放、高危等药品的管理：按《处方管理办法》设置麻醉药品和精神类药品超多日用量（用药天数）审查规则；对于麻醉药品缓控释制剂（如芬太尼贴剂、硫酸吗啡控释片、盐酸羟考酮缓释片、盐酸羟考酮控释片等），设置药品重复使用的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抗肿瘤药物管理：设置抗肿瘤药分级权限管理审查规则；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处方规范性审核：处方缺项、中药饮片和中药注射剂单独开具处方、单张门处方超过五种药品、用法用量表述不清等审查；</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医保结算方式审核：医保病人开具药品未符合医保报销条件，要求自费结算；</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管理规则：设置多套管理规则模板，包括门、急诊处方药品超多日用量、门诊输液审查（可限定科室、疾病）、药品品种（名称和品种数）、药品发药数量、处方金额、中药饮片帖数、中药饮片味数等（可限定患者病历号、处方时间、科室、来源（门诊、急诊或住院）等；</w:t>
      </w:r>
      <w:r/>
    </w:p>
    <w:p>
      <w:pPr>
        <w:ind w:firstLine="420"/>
        <w:spacing w:line="360" w:lineRule="auto"/>
        <w:shd w:val="clear" w:color="auto" w:fill="ffffff"/>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rPr>
        <w:t xml:space="preserve">（3）自定义的</w:t>
      </w:r>
      <w:r>
        <w:rPr>
          <w:rFonts w:hint="eastAsia" w:ascii="宋体" w:hAnsi="宋体" w:cs="宋体"/>
          <w:color w:val="000000"/>
          <w:szCs w:val="21"/>
          <w:highlight w:val="none"/>
          <w:shd w:val="clear" w:color="auto" w:fill="ffffff"/>
        </w:rPr>
        <w:t xml:space="preserve">用药规则知识库内容可视，</w:t>
      </w:r>
      <w:r>
        <w:rPr>
          <w:rFonts w:hint="eastAsia" w:ascii="宋体" w:hAnsi="宋体" w:cs="宋体"/>
          <w:color w:val="000000"/>
          <w:szCs w:val="21"/>
          <w:highlight w:val="none"/>
        </w:rPr>
        <w:t xml:space="preserve">本院自有维护的规则直观展示、通俗易懂，并支持随时对规则进行验证测试，自定义</w:t>
      </w:r>
      <w:r>
        <w:rPr>
          <w:rFonts w:hint="eastAsia" w:ascii="宋体" w:hAnsi="宋体" w:cs="宋体"/>
          <w:color w:val="000000"/>
          <w:szCs w:val="21"/>
          <w:highlight w:val="none"/>
          <w:shd w:val="clear" w:color="auto" w:fill="ffffff"/>
        </w:rPr>
        <w:t xml:space="preserve">规则审核后立即生效（不需要重启服务器）；</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（4）知识库更新后，系统支持新旧知识库的比对，并显示差异化结果，供用户自主选择全部更新、部分更新或不更新。</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2.2自定义规则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（1）系统提供规则管理工具，规则管理工具操作简单，医院药师或管理人员能够自行使用；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（2）支持用户自定义规则警示类型、药品属性、检验指标字典，医疗机构可根据实际需要自定义规则警示类型、药品属性以及检验指标字典，用于管理药品规则、管理规则；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支持用户自由定义药品规则，能够对本院维护的规则进行新增、修改和删除，可实现多重条件（即给药途径、用法用量、相互作用等所有支持的审查内容，均可随意组合）下的复杂逻辑判断，使药品的使用更加符合医院的实际用药情况；且所有规则均可自定义警示类型、警示等级及提示内容。具体药品规则支持自定义详情如下：</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给药途径：用户可自定义设置药品的给药途径规则；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用法用量</w:t>
      </w:r>
      <w:r/>
    </w:p>
    <w:p>
      <w:pPr>
        <w:numPr>
          <w:ilvl w:val="0"/>
          <w:numId w:val="1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给药频率：可以结合患者年龄、性别、体重、体表面积、孕产状态、诊断、肝功能（患者诊断或谷丙转氨酶、谷草转氨酶、碱性磷酸酶、总胆红素等指标）、肾功能（患者eGFR指标）、检验指标、给药途径、合并用药（合用药嘱的剂量、频率、给药途径）等判断条件自定义设置药品的给药频率，并可以支持对q8h，q12h，q6h等特殊给药频率进行审查；</w:t>
      </w:r>
      <w:r/>
    </w:p>
    <w:p>
      <w:pPr>
        <w:numPr>
          <w:ilvl w:val="0"/>
          <w:numId w:val="1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给药时机：可以结合诊断等判断条件，自定义设置药品的给药时机审查规则；</w:t>
      </w:r>
      <w:r/>
    </w:p>
    <w:p>
      <w:pPr>
        <w:numPr>
          <w:ilvl w:val="0"/>
          <w:numId w:val="1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剂量：可以结合患者年龄、性别、体重、体表面积、孕产状态、诊断、肝功能（患者诊断或谷丙转氨酶、谷草转氨酶、碱性磷酸酶、总胆红素等指标）、肾功能（患者eGFR指标）、检验指标、给药途径、合并用药（合用药嘱的剂量、频率、给药途径）等判断条件自定义设置药品的每次剂量（包括每公斤剂量、每体表面积剂量）、日剂量（包括每公斤剂量、每体表面积剂量），还可以分别对长期医嘱和临时医嘱（st、once）单次剂量进行设置。系统可识别的剂量单位覆盖所有可能出现的剂量单位，涉及体重的剂量可支持按实际体重、理想体重计算；</w:t>
      </w:r>
      <w:r/>
    </w:p>
    <w:p>
      <w:pPr>
        <w:numPr>
          <w:ilvl w:val="0"/>
          <w:numId w:val="1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异常剂量：可以通过一条规则自定义设置本院所用缓释片、控释片、肠溶片等对分剂量服用有特定要求的药品，每次剂量是否为合理可分剂量的审查规则；</w:t>
      </w:r>
      <w:r/>
    </w:p>
    <w:p>
      <w:pPr>
        <w:numPr>
          <w:ilvl w:val="0"/>
          <w:numId w:val="1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累计剂量：可以结合年龄、体重等判断条件自定义某药品或某药品成分一次住院连续给药设置累计剂量；</w:t>
      </w:r>
      <w:r/>
    </w:p>
    <w:p>
      <w:pPr>
        <w:numPr>
          <w:ilvl w:val="0"/>
          <w:numId w:val="1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校正剂量：提供校正剂量的审查规则，对涉及体重、体表面积的口服药品计算出的非整数剂量的校正，提高审查准确率； </w:t>
      </w:r>
      <w:r/>
    </w:p>
    <w:p>
      <w:pPr>
        <w:numPr>
          <w:ilvl w:val="0"/>
          <w:numId w:val="19"/>
        </w:numPr>
        <w:spacing w:line="360" w:lineRule="auto"/>
        <w:shd w:val="clear" w:color="auto" w:fill="ffffff"/>
        <w:rPr>
          <w:rFonts w:hint="eastAsia" w:ascii="宋体" w:hAnsi="宋体" w:cs="宋体"/>
          <w:color w:val="ff0000"/>
          <w:szCs w:val="21"/>
          <w:highlight w:val="none"/>
        </w:rPr>
      </w:pPr>
      <w:r>
        <w:rPr>
          <w:rFonts w:hint="eastAsia" w:ascii="宋体" w:hAnsi="宋体" w:cs="宋体"/>
          <w:szCs w:val="21"/>
          <w:highlight w:val="none"/>
        </w:rPr>
        <w:t xml:space="preserve">不规范剂量：可以设置给药剂量不规范的审查规则，对每次给药剂量为遵医嘱、自用的情况进行审查；</w:t>
      </w:r>
      <w:r/>
    </w:p>
    <w:p>
      <w:pPr>
        <w:numPr>
          <w:ilvl w:val="0"/>
          <w:numId w:val="1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疗程：可以结合诊断等判断条件，对于门诊处方自定义设置药品的疗程；对于住院医嘱，自定义设置药品的持续时间，可以实现连续用药的医嘱审查；</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相互作用：可以结合患者诊断、检验指标、药品或合用药品（剂量、频率、给药途径）等判断条件，自定义设置某类药品、某几个药品以及含有某个或某类辅料的药品之间两两同时使用时相互作用的审查规则，门急诊患者同天就诊可以实现跨科室合并审查；</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重复用药：可以结合患者诊断、药品给药途径等判断条件，自定义设置某类药品、某几个药品同时使用数量超过1个或任意个重复用药审查规则；门急诊患者同天就诊可以实现跨科室合并审查；</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重复开具：同一个药品（全身给药，排除溶媒），设置重复开具审查规则；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配伍禁忌：可以结合给药途径等判断条件，自定义设置药品配伍（包括溶媒选择、溶媒用量、同组药品配伍、溶媒是否添加）的审查规则；</w:t>
      </w:r>
      <w:r/>
    </w:p>
    <w:p>
      <w:pPr>
        <w:numPr>
          <w:ilvl w:val="0"/>
          <w:numId w:val="2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溶媒用量：支持从浓度及体积两个维度进行审查，可以结合给药途径等判断条件，自定义设置药品的浓度/体积审查规则；</w:t>
      </w:r>
      <w:r/>
    </w:p>
    <w:p>
      <w:pPr>
        <w:numPr>
          <w:ilvl w:val="0"/>
          <w:numId w:val="2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离子浓度专项审查：若同组注射药品有一个或多个含钾药物，可以自定义设置该组注射剂的钾离子总浓度审查规则；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特殊人群：</w:t>
      </w:r>
      <w:r/>
    </w:p>
    <w:p>
      <w:pPr>
        <w:numPr>
          <w:ilvl w:val="0"/>
          <w:numId w:val="2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儿童、老年人、成人：可以结合诊断、体重等判断条件，自定义设置儿童、老年人、特定年龄患者禁、慎用药品的审查规则；</w:t>
      </w:r>
      <w:r/>
    </w:p>
    <w:p>
      <w:pPr>
        <w:numPr>
          <w:ilvl w:val="0"/>
          <w:numId w:val="2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妊娠期、哺乳期妇女：支持通过诊断（关键词匹配或ICD-10编码）以及妊娠状态、孕周、哺乳状态、检验指标自定义设置妊娠期、哺乳期妇女禁、慎用药品的审查规则； </w:t>
      </w:r>
      <w:r/>
    </w:p>
    <w:p>
      <w:pPr>
        <w:numPr>
          <w:ilvl w:val="0"/>
          <w:numId w:val="2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性别：可以结合诊断等判断条件，自定义设置不同性别禁、慎用药品的审查规则； </w:t>
      </w:r>
      <w:r/>
    </w:p>
    <w:p>
      <w:pPr>
        <w:numPr>
          <w:ilvl w:val="0"/>
          <w:numId w:val="2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肝功能异常患者：可以支持依据患者诊断或谷丙转氨酶、谷草转氨酶、碱性磷酸酶、总胆红素等指标，自定义设置肝功能异常状态。依据自定义的肝功能异常状态，自主设置不同异常状态患者禁、慎用药品的审查规则；</w:t>
      </w:r>
      <w:r/>
    </w:p>
    <w:p>
      <w:pPr>
        <w:numPr>
          <w:ilvl w:val="0"/>
          <w:numId w:val="2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肾功能异常患者：支持依据患者诊断、eGFR指标（可选择公式： 中国改良MDRD  公式和CKD-EPI 公式）、是否透析状态等指标，自定义设置肾功能异常状态。依据自定义的肾功能异常状态，自主设置不同异常状态患者禁、慎用药品的审查规则；</w:t>
      </w:r>
      <w:r/>
    </w:p>
    <w:p>
      <w:pPr>
        <w:numPr>
          <w:ilvl w:val="0"/>
          <w:numId w:val="2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检验指标异常：可以自定义设置患者相关检验指标异常情况下禁用或慎用药品审查规则；</w:t>
      </w:r>
      <w:r/>
    </w:p>
    <w:p>
      <w:pPr>
        <w:numPr>
          <w:ilvl w:val="0"/>
          <w:numId w:val="2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存在不良反应：</w:t>
      </w:r>
      <w:r>
        <w:rPr>
          <w:rFonts w:hint="eastAsia" w:ascii="宋体" w:hAnsi="宋体" w:cs="宋体"/>
          <w:color w:val="000000"/>
          <w:szCs w:val="21"/>
          <w:highlight w:val="none"/>
          <w:shd w:val="clear" w:color="auto" w:fill="ffffff"/>
        </w:rPr>
        <w:t xml:space="preserve">可以通过病人特征（支持关键词匹配或ICD10编码）自定义设置存在药品不良反应类似疾病情况或状态的患者用药提醒规则，或患者所用药品存在的严重不良反应提醒规则；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过敏：可以自定义设置对某类药品、某个药品以及某个或某类辅料（乙醇、苯甲醇）的药品过敏禁、慎用的药品审查规则； </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禁忌症：可以通过诊断关键词匹配、ICD10编码，自定义设置不同疾病禁用的药品审查规则；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适应症：可以通过诊断关键词匹配、ICD10编码，自定义设置药品适应症相关审查规则；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中药饮片管理：可采用自定义设置中药饮片用法用量、孕产、给药途径、诊断（中医诊断或西医诊断）相关审查规则；</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抗菌药物管理：</w:t>
      </w:r>
      <w:r/>
    </w:p>
    <w:p>
      <w:pPr>
        <w:numPr>
          <w:ilvl w:val="0"/>
          <w:numId w:val="22"/>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围术期用药：可自定义设置围手术期用药相关审查规则；</w:t>
      </w:r>
      <w:r/>
    </w:p>
    <w:p>
      <w:pPr>
        <w:numPr>
          <w:ilvl w:val="0"/>
          <w:numId w:val="22"/>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抗菌药物越权用药：可自定义设置抗菌药物使用权限审查规则；</w:t>
      </w:r>
      <w:r/>
    </w:p>
    <w:p>
      <w:pPr>
        <w:numPr>
          <w:ilvl w:val="0"/>
          <w:numId w:val="22"/>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抗菌谱相同药品合用：对两个或多个抗菌谱（作用机制）相同的抗菌药物重复用药进行审查；</w:t>
      </w:r>
      <w:r/>
    </w:p>
    <w:p>
      <w:pPr>
        <w:numPr>
          <w:ilvl w:val="0"/>
          <w:numId w:val="1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精麻药品管理：可自定义设置麻醉药品和精神类药品超多日用量（用药天数）审查规则；</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支持用户自定义管理规则，实现对本院整体用药的管控，包括门、急诊处方药品超多日用量、门诊输液审查（可限定科室、疾病）；药品品种（名称和品种数）、药品发药数量、处方金额、中药饮片帖数、中药饮片味数、</w:t>
      </w:r>
      <w:r>
        <w:rPr>
          <w:rFonts w:hint="eastAsia" w:ascii="宋体" w:hAnsi="宋体" w:cs="宋体"/>
          <w:szCs w:val="21"/>
          <w:highlight w:val="none"/>
        </w:rPr>
        <w:t xml:space="preserve">中药饮片处方总剂量</w:t>
      </w:r>
      <w:r>
        <w:rPr>
          <w:rFonts w:hint="eastAsia" w:ascii="宋体" w:hAnsi="宋体" w:cs="宋体"/>
          <w:color w:val="000000"/>
          <w:szCs w:val="21"/>
          <w:highlight w:val="none"/>
        </w:rPr>
        <w:t xml:space="preserve">等（可限定患者病历号、处方时间、科室、来源（门诊、急诊或住院）等；</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（2）支持用户自定义医保规则，控制“指定疾病的医保药品”在未患该疾病患者使用医保结算的管控；</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（3）支持用户自定义药品开方提醒，在医嘱处方开出特殊药品时，给予相关提示；</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（4）提供自定义的条件（如检验指标肌酐）的 “为空”判断（即未获得病人的该类信息），支持用户在自定义规则中使用；</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（5）提供中药颗粒目录，支持用户自定义规则，可以进行相应的管控；</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（6）提供代表药品特点的属性（如单胺氧化酶抑制剂、磺胺结构类药品），支持用户在自定义规则中使用；</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（7）提供对应判断条件，支持用户自定义编辑复杂规则判断，使药品的使用更加符合用户的实际用药情况；</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（9）支持用户设置规则生效范围，对单张处方生效、对多张处方生效、只对门诊处方生效或只对住院医嘱生效等。</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（三）合理用药干预系统</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3.1处方/医嘱实时审查</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系统能够根据预设的合理用药管理规则对处方/医嘱的用药适宜性及规范性进行实时审查，并给予医生提示，对于严重的用药问题可以直接在医生端进行拦截，若医生不做调整，则处方/医嘱无法生效；</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支持以简洁易懂的文字将用药问题及修改建议反馈给医生，并支持在问题提示时通过链接查看相关说明书。</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3.2干预配置</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系统支持用户设置在医生端提示的警示信息类型、状态及等级；</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系统可实现仅提醒临床科室指定警示等级的警示信息；</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系统可配置门急诊病人的处方审查方式，支持门急诊病人按处方进行用药审查或按患者进行用药审查（即对同人同天同机构的处方做合并审查）；</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系统可配置门诊跨就诊合并审查，例如合并审查过去7天内（可设置）患者在本院开具的处方是否存在重复用药；</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支持配置住院长期医嘱和临时医嘱之间是否开启重复用药审查；</w:t>
      </w:r>
      <w:r/>
    </w:p>
    <w:p>
      <w:pPr>
        <w:numPr>
          <w:ilvl w:val="0"/>
          <w:numId w:val="2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支持配置门诊处方或住院医嘱特殊给药频率（如st、once）是否开启重复用药审查。</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3.3医药信息查询</w:t>
      </w:r>
      <w:r/>
    </w:p>
    <w:p>
      <w:pPr>
        <w:numPr>
          <w:ilvl w:val="0"/>
          <w:numId w:val="2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支持医生和药师查看药品说明书信息，包括：</w:t>
      </w:r>
      <w:r/>
    </w:p>
    <w:p>
      <w:pPr>
        <w:numPr>
          <w:ilvl w:val="0"/>
          <w:numId w:val="24"/>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药品说明书信息：可查询对应药品的完整的说明书信息，同时可以查看同一通用名称，不同剂型和不同厂家的说明书。说明书信息支持医院药学人员维护，可以在国家食品药品监督管理总局（NMPA）正式发布的药品厂家说明书基础上修改和新增药品说明书内容，形成一篇新的符合临床实际需要的自定义药品说明书；</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3.4干预结果查看</w:t>
      </w:r>
      <w:r/>
    </w:p>
    <w:p>
      <w:pPr>
        <w:numPr>
          <w:ilvl w:val="0"/>
          <w:numId w:val="2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支持医生保存处方/医嘱时，处方/医嘱实时传入合理用药管理系统，药师可登入合理用药系统，查看医生开具的处方/医嘱及在处方/医嘱开具过程中实时发生的用药问题；</w:t>
      </w:r>
      <w:r/>
    </w:p>
    <w:p>
      <w:pPr>
        <w:numPr>
          <w:ilvl w:val="0"/>
          <w:numId w:val="2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支持药师对当前发生的问题（警示信息）进行实时的确认/待查审核；</w:t>
      </w:r>
      <w:r/>
    </w:p>
    <w:p>
      <w:pPr>
        <w:numPr>
          <w:ilvl w:val="0"/>
          <w:numId w:val="2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支持医生登入系统，查看本人的处方和处方审核结果；</w:t>
      </w:r>
      <w:r/>
    </w:p>
    <w:p>
      <w:pPr>
        <w:numPr>
          <w:ilvl w:val="0"/>
          <w:numId w:val="25"/>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支持科主任/医院管理人员登入系统，查看本科室或本院的全部问题处方/医嘱及审核结果。</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（四）合理用药分析系统</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4.1处方/医嘱分析</w:t>
      </w:r>
      <w:r/>
    </w:p>
    <w:p>
      <w:pPr>
        <w:numPr>
          <w:ilvl w:val="0"/>
          <w:numId w:val="2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支持处方/医嘱每天自动导入合理用药管理系统，并支持全处方/医嘱的自动分析；</w:t>
      </w:r>
      <w:r/>
    </w:p>
    <w:p>
      <w:pPr>
        <w:numPr>
          <w:ilvl w:val="0"/>
          <w:numId w:val="2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支持门诊按单张处方和按患者当天所有处方合并分析；</w:t>
      </w:r>
      <w:r/>
    </w:p>
    <w:p>
      <w:pPr>
        <w:numPr>
          <w:ilvl w:val="0"/>
          <w:numId w:val="2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支持对处方/医嘱中存在的用法用量、相互作用、配伍禁忌、重复用药、禁忌症、适应症、特殊人群用药、妊娠期用药、哺乳期用药、过敏、给药途径等不合理用药情况进行自动分析；</w:t>
      </w:r>
      <w:r/>
    </w:p>
    <w:p>
      <w:pPr>
        <w:numPr>
          <w:ilvl w:val="0"/>
          <w:numId w:val="2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支持用户根据医院管理规定及临床实际用药情况，自定义设置分析和管控规则，对处方、医嘱进行自动分析，实现用药管理；</w:t>
      </w:r>
      <w:r/>
    </w:p>
    <w:p>
      <w:pPr>
        <w:numPr>
          <w:ilvl w:val="0"/>
          <w:numId w:val="26"/>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支持用户新增或调整规则后，即刻对后续处方/医嘱生效，同时支持手动对历史数据进行重新审查。</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4.2 分析结果查看</w:t>
      </w:r>
      <w:r/>
    </w:p>
    <w:p>
      <w:pPr>
        <w:numPr>
          <w:ilvl w:val="0"/>
          <w:numId w:val="27"/>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支持药师查看所有处方/医嘱，并可查看系统警示信息及个性化用药规则的分析结果；</w:t>
      </w:r>
      <w:r/>
    </w:p>
    <w:p>
      <w:pPr>
        <w:numPr>
          <w:ilvl w:val="0"/>
          <w:numId w:val="27"/>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支持从门诊处方、门诊患者、出院患者维度查看所有处方/医嘱及分析结果；</w:t>
      </w:r>
      <w:r/>
    </w:p>
    <w:p>
      <w:pPr>
        <w:numPr>
          <w:ilvl w:val="0"/>
          <w:numId w:val="27"/>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支持医生登入系统，查看本人的处方和处方分析结果；</w:t>
      </w:r>
      <w:r/>
    </w:p>
    <w:p>
      <w:pPr>
        <w:numPr>
          <w:ilvl w:val="0"/>
          <w:numId w:val="27"/>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支持药师根据医院的实际用药情况，对系统点评出来的警示信息进行确认待查操作，待查的警示信息在医生端不再提示，并不计入处方合格率计算和项目报表统计；</w:t>
      </w:r>
      <w:r/>
    </w:p>
    <w:p>
      <w:pPr>
        <w:numPr>
          <w:ilvl w:val="0"/>
          <w:numId w:val="27"/>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系统可以对管理人员及医生查看的处方/医嘱及点评结果的权限进行配置，支持查看全部处方/医嘱或问题处方/医嘱。</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4.3 处方/医嘱点评</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系统”根据《医院处方点评管理规范（试行）》、《处方管理办法》、《处方点评监测网工作手册》、《国家卫生计生委抗菌药物临床应用管理数据上报系统》、《2015年抗菌药物临床指导原则》、《三级综合医院评审标准实施细则》等处方点评相关政策要求，实现对医院处方（医嘱）的点评功能。</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系统应能对处方（医嘱）用药进行剂量审查、累积剂量审查、超多日用量审查、给药途径审查、相互作用审查、体外注射剂配伍审查、配伍浓度审查、钾离子监测、TPN处方审查、门诊输液审查、禁忌症审查、不良反应审查、特殊人群（儿童、成人、老人、妊娠、哺乳、性别）用药审查、重复用药审查、适应症审查、药物过敏审查、药物检验值审查、规范性审查、医保审查、越权用药审查、围术期用药审查，并提供审查规则自定义功能，使得点评结果更加符合医院实际用药情况。</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（2）系统应能实现从抽样、分配、求助、专家复核、反馈医生、医生申述、药师审结的点评闭环管理，并在点评求助、复核完毕、反馈医生、医生申述的环节进行消息提示。</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（3）系统应支持点评任务随机分配、按管辖科室、药品分配，点评人只能查看自己相关的任务，无权查看他人的任务信息。</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（4）系统应提供双盲点评，在需要时隐藏医生、药师的姓名。</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（5）系统应提供逾期设置，规定医生处理点评结果的时间期限。</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（6）系统应能自定义点评模板及点评点，实现个性化点评需求。</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（7）系统应能自动生成住院患者用药联用图，直观查看药品使用（联用）情况，联用图支持自定义。</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（8）系统应能自动生成住院患者时序图，包括患者体征（体温、脉搏、呼吸、疼痛评分、血糖、出/入量、血压）、用药、手术和检验信息，时序图支持自定义。</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（9）系统应能高亮显示被点评药品，当选择某一（类）药品时，将其成组药品一并显示。</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（10）系统应支持处方（医嘱）批量点评，应能将点评结果反馈医生或科主任，医生（工作站）可直接填写申述理由或确认，无需登录系统查看点评结果。</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（11）系统应支持增补处方或病人，将需要的处方或病人批量添加至点评任务中。</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（12）系统应能自动生成点评工作表、点评结果统计表、存在问题统计表、点评结果差异明细表、点评问题明细表。点评相关报表支持自定义显示和导出字段。</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（13）系统应能自动生成个人任务完成情况表、点评任务完成情况表、医生反馈统计表、点评结果汇总统计表等管理报表。</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（14）系统应包含以下点评模块：</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全处方点评；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全医嘱点评；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门急诊/住院抗菌药物专项点评，含药物选择不合适、无适应症、药物选择不符合抗菌药物分级管理、联合用药不适宜、更换药物不适宜、用药效果欠佳等点评；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围手术期抗菌药物专项点评，含选药不合理、预防药物更换不合理、术前给药时机不合理、术中用药不合理、手术预防用药疗程不合理等点评；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门急诊/住院专项药品点评，可点评任意（类）药品；</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门急诊/住院抗肿瘤药物专项点评，含医师超权限使用抗肿瘤药、用药顺序错误、化疗方案不合理等点评；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住院病人特殊级抗菌药物专项点评；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住院病人碳青霉烯类及替加环素专项点评，应能针对适应证、品种选择、用法用量及配伍、病原学及疗效评估、用药权限与会诊等评价项目进行人工评价及自动扣分；</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住院病人人血白蛋白专项点评；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住院中药饮片专项点评，含超过规定味数、未按照君臣佐使顺序书写、用药与辩证不符、中药配伍禁忌、联用不适宜或者不良相互作用、未按要求标注药物调剂和煎煮特殊要求、开具毒麻饮片未执行国家有关规定等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门（急）诊中成药处方专项点评；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用药排名医嘱点评，应能对门急诊/住院使用金额、数量或DDDs排名前N位的科室和医生开具的处方（医嘱）进行点评；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住院用药医嘱点评；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出院带药医嘱点评；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门（急）诊基本药物专项点评，含用药方案与《国家基本药物临床应用指南》不一致等点评；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病人肠外营养专项点评，可自动计算热量、补液量、氮量、糖/脂肪乳/氨基酸总量、氨基酸供给量、糖脂比、热氮比、丙氨酰谷氨酰胺用量占比、钠/钾/钙/镁/磷/电解质一价及二价阳离子浓度、渗透压摩尔浓度等指标；</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住院病人自备药专项点评；</w:t>
      </w:r>
      <w:r/>
    </w:p>
    <w:p>
      <w:pPr>
        <w:numPr>
          <w:ilvl w:val="0"/>
          <w:numId w:val="28"/>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门（急）诊外延处方点评</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14）系统应支持全区共用一套规则，系统应可抽取单个医疗机构或多个医疗机构的处方或医嘱点评，也可抽取专项药品进行专项化点评；点评过程中系统应可将点评任务分配给区域中不同医疗机构的药师，系统应支持点评人在遇到点评问题时可向上级医院的药师进行求助；点评完成后，系统应可以按照区域中的医疗机构生成点评结果的统计。</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（五）前置审方系统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系统”应根据《医疗机构处方审核规范》、《关于加强药事管理转变药学服务模式的通知》、《中华人民共和国药品管理法》、《医疗机构药事管理规定》、《医院处方点评管理规范（试行）》、《处方管理办法》等相关法律法规的要求，实现药师对处方（医嘱）的实时审查功能。</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5.1处方/医嘱审查流程</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系统提供审方药师门诊审方工作平台，支持药师在患者缴费前完成门诊处方的实时审查；</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系统提供审方药师住院审方工作平台，支持药师在医嘱调剂前完成住院医嘱的实时审查；</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olor w:val="000000"/>
          <w:szCs w:val="21"/>
          <w:highlight w:val="none"/>
        </w:rPr>
        <w:t xml:space="preserve">系统支持对外配处方、自备药进行实时审查；</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按照系统预设的合理用药规则对进入审方系统的处方/医嘱进行实时审查，再由审方药师选取全部或部分处方/医嘱进行人工审核，审核通过的处方/医嘱进入下一流程，审核不通过的打回到医生端，由医生选择双签或修改，实现审方药师的实时审方。</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5.2审方方案和模式设置</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筛选需要审方药师人工审查的处方/医嘱。可按照院区、科室、病区、医生、药品、药品、诊断、警示信息等条件设置一个或多个审方方案，用于待审核处方/医嘱的过滤，确定待审核处方/医嘱任务；对于不符合方案设置的处方/医嘱，支持处方/医嘱自动通过审核；</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支持设置只审核静配医嘱；</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支持医院自定义特殊管控药品审方方案，例如重点监控药品、精麻药品等，必须经过人工审核才允许执行；</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支持设定处方/医嘱自动驳回要求医生双签；支持设置需要审核医嘱但没有可审核药师时设置是否要求双签等；</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支持按药师分配审方任务：可按照科室、病区等条件设置药师的审方权限，系统可根据药师权限自动将待审核处方/医嘱任务分配给审方药师；</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门急诊支持单张处方、按患者合并当日所有处方或跨天跨就诊、以及对相同基础数据的不同院区，跨机构合并患者所有处方审查医生用药问题；</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住院支持按患者审查或按组拆分审查，按患者审查即患者一次传入的医嘱为一个审查任务，按组拆分审查即患者一次传入的医嘱拆分为多个审查任务，便于医院根据实际需要合理安排审方工作；</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支持在审方方案中设置药师工作时间，对于非工作时间的住院医嘱，可自动通过审核，不影响医嘱的执行。</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支持历史处方合并时，根据历史处方疗程计算是否参与审查。</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住院支持按患者审查或按组拆分审查，按患者审查即患者一次传入的医嘱为一个审查任务，按组拆分审查即患者一次传入的医嘱拆分为多个审查任务，便于医院根据实际需要合理安排审方工作；</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支持设置药师的审方权限，可按照院区、科室、病区、等条件设置药师的审方权限，系统可根据药师权限将待审核处方/医嘱任务分配给有权限的审方药师。</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5.3审方页面展示</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审方页面一体化展示患者信息、处方/医嘱信息、检查检验信息、手术信息、电子病历信息及系统自动审查结果；其中对患者异常检验指标突出显示； </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支持在药师审方时，展示干预阶段医生填写的特别用药理由；</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支持查看检验指标趋势图，并支持对患者异常检验指标的突出显示；助力药师快速、全面、精准的审核处方/医嘱；</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可实时展示给审方药师，分配给该药师的待审处方/医嘱任务数量；</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支持呈现药师对处方/医嘱的历史审核记录、状态、干预过程等内容；</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支持处方/医嘱审核时通过链接跳转到HIS电子病历页面。</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支持系统审查结果快速跳转到规则设置页面；</w:t>
      </w:r>
      <w:r/>
    </w:p>
    <w:p>
      <w:pPr>
        <w:numPr>
          <w:ilvl w:val="0"/>
          <w:numId w:val="29"/>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支持特殊药品标识，如静配、高警示药品、麻醉药品、精神类药品、毒性药品及放射性药品等；并可根据医院需求自定义提示内容，如易跌倒、特殊管控药品等，以实现系统间同质化展示；</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5.4处方/医嘱人工审查</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支持审方任务自动分配，并支持任务来临时自动页面消息及提示音提示； </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支持每个药师自定义审方提示音；</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支持新任务来时，电脑右下角进行提醒，即使浏览器审核页面当前最小化。减少漏审</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支持设置药师最大接收任务数；</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支持审方药师查看分配给自己的待审处方/医嘱任务；住院可按患者姓名、患者号进行任务筛选；支持静配医嘱的单独审核和分配给指定药师；</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支持先开具处方/医嘱、紧急处方/医嘱优先审核；</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支持审方药师选择多个医嘱，批量审核通过；</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支持审方药师在审核处方/医嘱时对系统自动审查结果进行确认，并支持人工输入审核意见及用药建议；对于人工输入的内容，支持药师自定义审核意见模板，便于药师在审核时进行选择；</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支持审方药师根据问题的严重程度选择是否强制要求医生修改处方/医嘱；</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支持由于适应症禁忌症相关不合理用药问题打回的处方/医嘱，当医生补充或修改诊断后自动触发再次审方；</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支持待审处方/医嘱超过规定时间，自动超时通过，并支持用户自定义超时时间；对于多院区系统，支持对不同院区设置不同的超时时间；</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支持处方/医嘱打回后，当医生对打回的处方/医嘱进行双签后，在药师界面显示双签理由并通过任务；</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支持处方/医嘱打回后，当医生跟审方药师沟通后可以通过审查时，支持处方/医嘱的重新审查通过，并支持药师输入通过理由；</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支持处方/医嘱的收藏，并可设置收藏分类，用于经典案例回顾等；</w:t>
      </w:r>
      <w:r/>
    </w:p>
    <w:p>
      <w:pPr>
        <w:numPr>
          <w:ilvl w:val="0"/>
          <w:numId w:val="30"/>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支持在处方/医嘱审核任务上添加备注信息用于审方过程的记录，如“跟医生沟通需要审核通过”等。</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5.5审查结果查看</w:t>
      </w:r>
      <w:r/>
    </w:p>
    <w:p>
      <w:pPr>
        <w:numPr>
          <w:ilvl w:val="0"/>
          <w:numId w:val="3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支持查看进入审方系统的全部处方或医嘱，包括人工审核通过及打回的处方/医嘱、系统自动通过、超时通过的处方/医嘱；</w:t>
      </w:r>
      <w:r/>
    </w:p>
    <w:p>
      <w:pPr>
        <w:ind w:left="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r>
      <w:r/>
    </w:p>
    <w:p>
      <w:pPr>
        <w:numPr>
          <w:ilvl w:val="0"/>
          <w:numId w:val="3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支持处方/医嘱审核历史的查看和导出；</w:t>
      </w:r>
      <w:r/>
    </w:p>
    <w:p>
      <w:pPr>
        <w:numPr>
          <w:ilvl w:val="0"/>
          <w:numId w:val="3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支持按日期、科室、警示类型、药品名称、审方药师、任务状态、处方号、患者号、处方来源、处方类别等条件筛选处方/医嘱，并支持药师已收藏案例的筛选查看；</w:t>
      </w:r>
      <w:r/>
    </w:p>
    <w:p>
      <w:pPr>
        <w:numPr>
          <w:ilvl w:val="0"/>
          <w:numId w:val="31"/>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支持用户自定义设置列表页面展示字段。</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5.6审方质量评价</w:t>
      </w:r>
      <w:r/>
    </w:p>
    <w:p>
      <w:pPr>
        <w:numPr>
          <w:ilvl w:val="0"/>
          <w:numId w:val="32"/>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支持根据日期、来源、审方药师、机构等条件，全部或随机抽取已审核处方/医嘱供药学管理人员进行回顾性分析评价，并可根据评价结果生成评价报表；</w:t>
      </w:r>
      <w:r/>
    </w:p>
    <w:p>
      <w:pPr>
        <w:numPr>
          <w:ilvl w:val="0"/>
          <w:numId w:val="32"/>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支持审方药师登入系统查看本人的审方评价结果。</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5.7统计分析</w:t>
      </w:r>
      <w:r/>
    </w:p>
    <w:p>
      <w:pPr>
        <w:ind w:firstLine="420"/>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支持处方/医嘱审方工作统计，包括：</w:t>
      </w:r>
      <w:r/>
    </w:p>
    <w:p>
      <w:pPr>
        <w:numPr>
          <w:ilvl w:val="0"/>
          <w:numId w:val="3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从机构、科室、医生等角度统计处方/医嘱任务数量及审查概况，包括自动通过处方/医嘱任务数、药师打回、药师通过处方/医嘱任务数等指标；</w:t>
      </w:r>
      <w:r/>
    </w:p>
    <w:p>
      <w:pPr>
        <w:numPr>
          <w:ilvl w:val="0"/>
          <w:numId w:val="3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支持静配医嘱审核情况专项统计；</w:t>
      </w:r>
      <w:r/>
    </w:p>
    <w:p>
      <w:pPr>
        <w:numPr>
          <w:ilvl w:val="0"/>
          <w:numId w:val="3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支持审核情况统计中，按处方人次维度提供数据；</w:t>
      </w:r>
      <w:r/>
    </w:p>
    <w:p>
      <w:pPr>
        <w:numPr>
          <w:ilvl w:val="0"/>
          <w:numId w:val="3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支持统计审方药师审核的处方/医嘱任务数、审核通过、审核打回的处方/医嘱任务数等指标；</w:t>
      </w:r>
      <w:r/>
    </w:p>
    <w:p>
      <w:pPr>
        <w:numPr>
          <w:ilvl w:val="0"/>
          <w:numId w:val="3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从机构、科室、医生、药师等维度统计处方/医嘱打回后医生对打回处方/医嘱的处理情况，包括医生双签、医生修改处方/医嘱任务数等指标；</w:t>
      </w:r>
      <w:r/>
    </w:p>
    <w:p>
      <w:pPr>
        <w:numPr>
          <w:ilvl w:val="0"/>
          <w:numId w:val="3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从药师角度统计药师审方的效率，包括药师审核耗时等指标；</w:t>
      </w:r>
      <w:r/>
    </w:p>
    <w:p>
      <w:pPr>
        <w:numPr>
          <w:ilvl w:val="0"/>
          <w:numId w:val="33"/>
        </w:numPr>
        <w:spacing w:line="360" w:lineRule="auto"/>
        <w:shd w:val="clear" w:color="auto" w:fill="ffffff"/>
        <w:rPr>
          <w:rFonts w:hint="eastAsia" w:ascii="宋体" w:hAnsi="宋体" w:cs="宋体"/>
          <w:color w:val="000000"/>
          <w:szCs w:val="21"/>
          <w:highlight w:val="none"/>
        </w:rPr>
      </w:pPr>
      <w:r>
        <w:rPr>
          <w:rFonts w:hint="eastAsia" w:ascii="宋体" w:hAnsi="宋体" w:cs="宋体"/>
          <w:color w:val="000000"/>
          <w:szCs w:val="21"/>
          <w:highlight w:val="none"/>
        </w:rPr>
        <w:t xml:space="preserve">统计药师审核的处方/医嘱中各问题类型的发生的情况，包括打回处方/医嘱任务数、医生双签、医生修改处方/医嘱任务数等指标。</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5.8审方消息沟通</w:t>
      </w:r>
      <w:r/>
    </w:p>
    <w:p>
      <w:pPr>
        <w:numPr>
          <w:ilvl w:val="0"/>
          <w:numId w:val="0"/>
        </w:numPr>
        <w:ind w:left="0" w:firstLine="420"/>
        <w:spacing w:line="360" w:lineRule="auto"/>
        <w:shd w:val="clear" w:color="auto" w:fill="ffffff"/>
        <w:rPr>
          <w:rFonts w:hint="eastAsia" w:ascii="宋体" w:hAnsi="宋体" w:cs="宋体"/>
          <w:color w:val="000000"/>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Cs w:val="21"/>
          <w:highlight w:val="none"/>
        </w:rPr>
        <w:t xml:space="preserve">支持审方药师打回处方/医嘱后，可通过审方消息沟通工具将打回信息及打回原因提示给医生，医生和药师可以在客户端就用药方案实时交流；</w:t>
      </w:r>
      <w:r/>
    </w:p>
    <w:p>
      <w:pPr>
        <w:numPr>
          <w:ilvl w:val="0"/>
          <w:numId w:val="0"/>
        </w:numPr>
        <w:ind w:left="0" w:firstLine="420"/>
        <w:spacing w:line="360" w:lineRule="auto"/>
        <w:shd w:val="clear" w:color="auto" w:fill="ffffff"/>
        <w:rPr>
          <w:rFonts w:hint="eastAsia" w:ascii="宋体" w:hAnsi="宋体" w:cs="宋体"/>
          <w:color w:val="000000"/>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Cs w:val="21"/>
          <w:highlight w:val="none"/>
        </w:rPr>
        <w:t xml:space="preserve">支持医生登录医生工作站时自动登录审方消息客户端；</w:t>
      </w:r>
      <w:r/>
    </w:p>
    <w:p>
      <w:pPr>
        <w:numPr>
          <w:ilvl w:val="0"/>
          <w:numId w:val="0"/>
        </w:numPr>
        <w:ind w:left="0" w:firstLine="420"/>
        <w:spacing w:line="360" w:lineRule="auto"/>
        <w:shd w:val="clear" w:color="auto" w:fill="ffffff"/>
        <w:rPr>
          <w:rFonts w:hint="eastAsia" w:ascii="宋体" w:hAnsi="宋体" w:cs="宋体"/>
          <w:color w:val="000000"/>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cs="宋体"/>
          <w:color w:val="000000"/>
          <w:szCs w:val="21"/>
          <w:highlight w:val="none"/>
        </w:rPr>
        <w:t xml:space="preserve">支持医生在通知中进行双签名操作；</w:t>
      </w:r>
      <w:r/>
    </w:p>
    <w:p>
      <w:pPr>
        <w:numPr>
          <w:ilvl w:val="0"/>
          <w:numId w:val="0"/>
        </w:numPr>
        <w:ind w:left="0" w:firstLine="420"/>
        <w:spacing w:line="360" w:lineRule="auto"/>
        <w:shd w:val="clear" w:color="auto" w:fill="ffffff"/>
        <w:rPr>
          <w:rFonts w:hint="eastAsia" w:ascii="宋体" w:hAnsi="宋体" w:cs="宋体"/>
          <w:color w:val="000000"/>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cs="宋体"/>
          <w:color w:val="000000"/>
          <w:szCs w:val="21"/>
          <w:highlight w:val="none"/>
        </w:rPr>
        <w:t xml:space="preserve">支持医生查看消息通知和消息推送历史；</w:t>
      </w:r>
      <w:r/>
    </w:p>
    <w:p>
      <w:pPr>
        <w:numPr>
          <w:ilvl w:val="0"/>
          <w:numId w:val="0"/>
        </w:numPr>
        <w:ind w:left="0" w:firstLine="420"/>
        <w:spacing w:line="360" w:lineRule="auto"/>
        <w:shd w:val="clear" w:color="auto" w:fill="ffffff"/>
        <w:rPr>
          <w:rFonts w:hint="eastAsia" w:ascii="宋体" w:hAnsi="宋体" w:cs="宋体"/>
          <w:color w:val="000000"/>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cs="宋体"/>
          <w:color w:val="000000"/>
          <w:szCs w:val="21"/>
          <w:highlight w:val="none"/>
        </w:rPr>
        <w:t xml:space="preserve">支持医生回复审方打回的内容，并支持审方药师查看医生回复内容；</w:t>
      </w:r>
      <w:r/>
    </w:p>
    <w:p>
      <w:pPr>
        <w:numPr>
          <w:ilvl w:val="0"/>
          <w:numId w:val="0"/>
        </w:numPr>
        <w:ind w:left="0" w:firstLine="420"/>
        <w:spacing w:line="360" w:lineRule="auto"/>
        <w:shd w:val="clear" w:color="auto" w:fill="ffffff"/>
        <w:rPr>
          <w:rFonts w:hint="eastAsia" w:ascii="宋体" w:hAnsi="宋体" w:cs="宋体"/>
          <w:color w:val="000000"/>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cs="宋体"/>
          <w:color w:val="000000"/>
          <w:szCs w:val="21"/>
          <w:highlight w:val="none"/>
        </w:rPr>
        <w:t xml:space="preserve">支持医生离线时消息的存储，并支持医生在线时的消息推送；</w:t>
      </w:r>
      <w:r/>
    </w:p>
    <w:p>
      <w:pPr>
        <w:numPr>
          <w:ilvl w:val="0"/>
          <w:numId w:val="0"/>
        </w:numPr>
        <w:ind w:left="0" w:firstLine="420"/>
        <w:spacing w:line="360" w:lineRule="auto"/>
        <w:shd w:val="clear" w:color="auto" w:fill="ffffff"/>
        <w:rPr>
          <w:rFonts w:hint="eastAsia" w:ascii="宋体" w:hAnsi="宋体" w:cs="宋体"/>
          <w:color w:val="000000"/>
          <w:szCs w:val="21"/>
          <w:highlight w:val="none"/>
        </w:rPr>
      </w:pPr>
      <w:r>
        <w:rPr>
          <w:rFonts w:hint="eastAsia" w:ascii="宋体" w:hAnsi="宋体" w:eastAsia="宋体" w:cs="宋体"/>
          <w:color w:val="000000"/>
          <w:sz w:val="21"/>
          <w:szCs w:val="21"/>
          <w:lang w:val="en-US" w:eastAsia="zh-CN" w:bidi="ar-SA"/>
        </w:rPr>
        <w:t xml:space="preserve">（7）</w:t>
      </w:r>
      <w:r>
        <w:rPr>
          <w:rFonts w:hint="eastAsia" w:ascii="宋体" w:hAnsi="宋体" w:cs="宋体"/>
          <w:color w:val="000000"/>
          <w:sz w:val="21"/>
          <w:szCs w:val="21"/>
          <w:highlight w:val="none"/>
          <w:lang w:eastAsia="zh-CN"/>
        </w:rPr>
        <w:t xml:space="preserve">审方相关消息直接推送提交处方的医生，通过沟通平台发送的消息直接发送给对应联系人。</w:t>
      </w:r>
      <w:r/>
    </w:p>
    <w:p>
      <w:pPr>
        <w:spacing w:line="360" w:lineRule="auto"/>
        <w:shd w:val="clear" w:color="auto" w:fill="ffff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5.9审方大屏</w:t>
      </w:r>
      <w:r/>
    </w:p>
    <w:p>
      <w:pPr>
        <w:numPr>
          <w:ilvl w:val="0"/>
          <w:numId w:val="34"/>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支持当天处方任务审核量、干预量、合格率数据展示；</w:t>
      </w:r>
      <w:r/>
    </w:p>
    <w:p>
      <w:pPr>
        <w:numPr>
          <w:ilvl w:val="0"/>
          <w:numId w:val="34"/>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支持实时更新展示审方工作情况及机构合格率前五排名；</w:t>
      </w:r>
      <w:r/>
    </w:p>
    <w:p>
      <w:pPr>
        <w:numPr>
          <w:ilvl w:val="0"/>
          <w:numId w:val="34"/>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支持门诊住院系统审核不合理任务数前十医院排名、任务合格率前五医院排名。</w:t>
      </w:r>
      <w:r/>
    </w:p>
    <w:p>
      <w:pPr>
        <w:pStyle w:val="1239"/>
        <w:ind w:firstLine="0"/>
        <w:spacing w:line="360" w:lineRule="auto"/>
        <w:rPr>
          <w:rFonts w:hint="eastAsia" w:ascii="宋体" w:hAnsi="宋体" w:cs="宋体"/>
          <w:b/>
          <w:szCs w:val="21"/>
          <w:highlight w:val="none"/>
        </w:rPr>
      </w:pPr>
      <w:r>
        <w:rPr>
          <w:rFonts w:hint="eastAsia" w:ascii="宋体" w:hAnsi="宋体" w:cs="宋体"/>
          <w:b/>
          <w:szCs w:val="21"/>
          <w:highlight w:val="none"/>
        </w:rPr>
        <w:t xml:space="preserve">五、项目实施及售后服务要求</w:t>
      </w:r>
      <w:r/>
    </w:p>
    <w:p>
      <w:pPr>
        <w:spacing w:line="360" w:lineRule="auto"/>
        <w:shd w:val="clear" w:color="auto" w:fill="ffffff"/>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一</w:t>
      </w:r>
      <w:r>
        <w:rPr>
          <w:rFonts w:hint="eastAsia" w:ascii="宋体" w:hAnsi="宋体" w:cs="宋体"/>
          <w:b/>
          <w:bCs/>
          <w:color w:val="000000"/>
          <w:szCs w:val="21"/>
          <w:highlight w:val="none"/>
          <w:lang w:val="zh-CN"/>
        </w:rPr>
        <w:t xml:space="preserve">）项目组织管理要求</w:t>
      </w:r>
      <w:r/>
    </w:p>
    <w:p>
      <w:pPr>
        <w:numPr>
          <w:ilvl w:val="0"/>
          <w:numId w:val="35"/>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供应商应充分考虑满足投标项目的建设要求，提出完整的项目管理、项目实施、项目培训、项目验收、售后服务方案。</w:t>
      </w:r>
      <w:r/>
    </w:p>
    <w:p>
      <w:pPr>
        <w:numPr>
          <w:ilvl w:val="0"/>
          <w:numId w:val="35"/>
        </w:numPr>
        <w:ind w:firstLine="0"/>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供应商必须提供可靠的售后服务保障，保证提供长期、稳定的技术支持服务。</w:t>
      </w:r>
      <w:r/>
    </w:p>
    <w:p>
      <w:pPr>
        <w:spacing w:line="360" w:lineRule="auto"/>
        <w:shd w:val="clear" w:color="auto" w:fill="ffffff"/>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二</w:t>
      </w:r>
      <w:r>
        <w:rPr>
          <w:rFonts w:hint="eastAsia" w:ascii="宋体" w:hAnsi="宋体" w:cs="宋体"/>
          <w:b/>
          <w:bCs/>
          <w:color w:val="000000"/>
          <w:szCs w:val="21"/>
          <w:highlight w:val="none"/>
          <w:lang w:val="zh-CN"/>
        </w:rPr>
        <w:t xml:space="preserve">）项目实施进度要求</w:t>
      </w:r>
      <w:r/>
    </w:p>
    <w:p>
      <w:pPr>
        <w:numPr>
          <w:ilvl w:val="0"/>
          <w:numId w:val="36"/>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本项目实施计划分三个阶段进行，请供应商根据阶段划分进一步细化成工作计划：</w:t>
      </w:r>
      <w:r/>
    </w:p>
    <w:p>
      <w:pPr>
        <w:numPr>
          <w:ilvl w:val="0"/>
          <w:numId w:val="36"/>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第一阶段：合同签订后15日内确定系统实施方案、项目管理、项目测试/验收的方案，向采购人提供上述文档并需经采购人审查通过；</w:t>
      </w:r>
      <w:r/>
    </w:p>
    <w:p>
      <w:pPr>
        <w:numPr>
          <w:ilvl w:val="0"/>
          <w:numId w:val="36"/>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第二阶段：合同签订后</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个月内完成本项目系统建设，经测试运行及培训，并通过采购人组织初步验收确认合格，投入试运行；</w:t>
      </w:r>
      <w:r/>
    </w:p>
    <w:p>
      <w:pPr>
        <w:numPr>
          <w:ilvl w:val="0"/>
          <w:numId w:val="36"/>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第三阶段：投入试运行后正常运行</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个月后，完成本项目的培训任务，建立完善的系统运维体系，经正式验收合格，正式交付使用，进入维护期。</w:t>
      </w:r>
      <w:r/>
    </w:p>
    <w:p>
      <w:pPr>
        <w:spacing w:line="360" w:lineRule="auto"/>
        <w:shd w:val="clear" w:color="auto" w:fill="ffffff"/>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三</w:t>
      </w:r>
      <w:r>
        <w:rPr>
          <w:rFonts w:hint="eastAsia" w:ascii="宋体" w:hAnsi="宋体" w:cs="宋体"/>
          <w:b/>
          <w:bCs/>
          <w:color w:val="000000"/>
          <w:szCs w:val="21"/>
          <w:highlight w:val="none"/>
          <w:lang w:val="zh-CN"/>
        </w:rPr>
        <w:t xml:space="preserve">）项目培训要求</w:t>
      </w:r>
      <w:r/>
    </w:p>
    <w:p>
      <w:pPr>
        <w:numPr>
          <w:ilvl w:val="0"/>
          <w:numId w:val="37"/>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供应商须提出详细的项目培训计划，具体如下：</w:t>
      </w:r>
      <w:r/>
    </w:p>
    <w:p>
      <w:pPr>
        <w:numPr>
          <w:ilvl w:val="0"/>
          <w:numId w:val="37"/>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对医生、药学人员等不同对象的培训计划；</w:t>
      </w:r>
      <w:r/>
    </w:p>
    <w:p>
      <w:pPr>
        <w:numPr>
          <w:ilvl w:val="0"/>
          <w:numId w:val="37"/>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培训课程安排、培训方式由供应商提供，时间、地点及场所由采购人提供;</w:t>
      </w:r>
      <w:r/>
    </w:p>
    <w:p>
      <w:pPr>
        <w:numPr>
          <w:ilvl w:val="0"/>
          <w:numId w:val="37"/>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提供系统操作培训：主要面向医生、药学人员等使用系统的人员，提供操作培训。</w:t>
      </w:r>
      <w:r/>
    </w:p>
    <w:p>
      <w:pPr>
        <w:spacing w:line="360" w:lineRule="auto"/>
        <w:shd w:val="clear" w:color="auto" w:fill="ffffff"/>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四</w:t>
      </w:r>
      <w:r>
        <w:rPr>
          <w:rFonts w:hint="eastAsia" w:ascii="宋体" w:hAnsi="宋体" w:cs="宋体"/>
          <w:b/>
          <w:bCs/>
          <w:color w:val="000000"/>
          <w:szCs w:val="21"/>
          <w:highlight w:val="none"/>
          <w:lang w:val="zh-CN"/>
        </w:rPr>
        <w:t xml:space="preserve">）项目验收要求</w:t>
      </w:r>
      <w:r/>
    </w:p>
    <w:p>
      <w:pPr>
        <w:ind w:firstLine="420"/>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（1）项目的工作内容及成果文档的提交应覆盖以下内容，电子文档是成果不可分割的部分，包括：</w:t>
      </w:r>
      <w:r/>
    </w:p>
    <w:p>
      <w:pPr>
        <w:ind w:firstLine="840"/>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系统实施报告；</w:t>
      </w:r>
      <w:r/>
    </w:p>
    <w:p>
      <w:pPr>
        <w:ind w:firstLine="840"/>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软件培训资料；</w:t>
      </w:r>
      <w:r/>
    </w:p>
    <w:p>
      <w:pPr>
        <w:ind w:firstLine="840"/>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软件使用操作手册；</w:t>
      </w:r>
      <w:r/>
    </w:p>
    <w:p>
      <w:pPr>
        <w:ind w:left="420" w:firstLine="420"/>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项目验收报告。</w:t>
      </w:r>
      <w:r/>
    </w:p>
    <w:p>
      <w:pPr>
        <w:spacing w:line="360" w:lineRule="auto"/>
        <w:shd w:val="clear" w:color="auto" w:fill="ffffff"/>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五</w:t>
      </w:r>
      <w:r>
        <w:rPr>
          <w:rFonts w:hint="eastAsia" w:ascii="宋体" w:hAnsi="宋体" w:cs="宋体"/>
          <w:b/>
          <w:bCs/>
          <w:color w:val="000000"/>
          <w:szCs w:val="21"/>
          <w:highlight w:val="none"/>
          <w:lang w:val="zh-CN"/>
        </w:rPr>
        <w:t xml:space="preserve">）项目售后服务要求</w:t>
      </w:r>
      <w:r/>
    </w:p>
    <w:p>
      <w:pPr>
        <w:numPr>
          <w:ilvl w:val="0"/>
          <w:numId w:val="38"/>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供应商须根据本次招标文件所制定的目标和范围，提出相应的售后服务方案。</w:t>
      </w:r>
      <w:r/>
    </w:p>
    <w:p>
      <w:pPr>
        <w:numPr>
          <w:ilvl w:val="0"/>
          <w:numId w:val="38"/>
        </w:numPr>
        <w:ind w:left="0" w:firstLine="0"/>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为了保证本次项目顺利成功，要求供应商承诺项目验收后提供7*24小时售后技术服务（其中第一年为免费服务期，第二年起按合同约定的维护费用有偿维护），</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小时内做出明确响应和安排，及时通过电话、Email或传真等远程方式查找紧急事件的事发原因并通过远程途径解决相应问题。售后服务包括免费升级、</w:t>
      </w:r>
      <w:r>
        <w:rPr>
          <w:rFonts w:hint="eastAsia" w:ascii="宋体" w:hAnsi="宋体" w:cs="宋体"/>
          <w:color w:val="000000"/>
          <w:szCs w:val="21"/>
          <w:highlight w:val="none"/>
          <w:lang w:val="zh-CN" w:eastAsia="zh-CN"/>
        </w:rPr>
        <w:t xml:space="preserve">功能完善、</w:t>
      </w:r>
      <w:r>
        <w:rPr>
          <w:rFonts w:hint="eastAsia" w:ascii="宋体" w:hAnsi="宋体" w:cs="宋体"/>
          <w:color w:val="000000"/>
          <w:szCs w:val="21"/>
          <w:highlight w:val="none"/>
          <w:lang w:val="zh-CN"/>
        </w:rPr>
        <w:t xml:space="preserve">故障排除、性能调优、技术咨询等，并负责协调与各系统软件等供应商的关系。</w:t>
      </w:r>
      <w:r/>
    </w:p>
    <w:p>
      <w:pPr>
        <w:numPr>
          <w:ilvl w:val="0"/>
          <w:numId w:val="38"/>
        </w:numPr>
        <w:spacing w:line="360" w:lineRule="auto"/>
        <w:shd w:val="clear" w:color="auto" w:fill="ffffff"/>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免费服务期内，供应商提供不少于1年2次的知识库升级</w:t>
      </w:r>
      <w:r/>
    </w:p>
    <w:p>
      <w:pPr>
        <w:spacing w:line="360" w:lineRule="auto"/>
        <w:shd w:val="clear" w:color="auto" w:fill="ffffff"/>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六</w:t>
      </w:r>
      <w:r>
        <w:rPr>
          <w:rFonts w:hint="eastAsia" w:ascii="宋体" w:hAnsi="宋体" w:cs="宋体"/>
          <w:b/>
          <w:bCs/>
          <w:color w:val="000000"/>
          <w:szCs w:val="21"/>
          <w:highlight w:val="none"/>
          <w:lang w:val="zh-CN"/>
        </w:rPr>
        <w:t xml:space="preserve">）其他要求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供应商须保证所提供产品具有合法的版权或使用权，本项目采购的产品，如在本项目范围内使用过程中出现版权或使用权纠纷，应由中标人负责，采购人和采购机构不承担任何责任。要求供应商诚实守信、近三年内在政府采购中应无虚假应标、提供不实信息材料等不良信誉的公开通报记录。</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szCs w:val="21"/>
          <w:highlight w:val="none"/>
        </w:rPr>
      </w:pPr>
      <w:r>
        <w:rPr>
          <w:rFonts w:hint="eastAsia" w:ascii="宋体" w:hAnsi="宋体" w:cs="宋体"/>
          <w:b/>
          <w:szCs w:val="21"/>
          <w:highlight w:val="none"/>
        </w:rPr>
        <w:t xml:space="preserve">★六、医院信息化建设的要求</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为满足医院信息化建设要求，故要求供应商在中标后的服务中无条件配合采购人完成如下要求：</w:t>
      </w:r>
      <w:r/>
    </w:p>
    <w:p>
      <w:pPr>
        <w:numPr>
          <w:ilvl w:val="0"/>
          <w:numId w:val="39"/>
        </w:num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系统建设的数据库须满足信创国产化要求，有信创要求的硬件设备需满足要求，若医院更新国产化系统，软件必须免费提供适配国产化系统的信创版本。</w:t>
      </w:r>
      <w:r/>
    </w:p>
    <w:p>
      <w:pPr>
        <w:numPr>
          <w:ilvl w:val="0"/>
          <w:numId w:val="39"/>
        </w:numPr>
        <w:spacing w:line="360" w:lineRule="auto"/>
        <w:rPr>
          <w:rFonts w:hint="eastAsia" w:ascii="宋体" w:hAnsi="宋体" w:cs="宋体"/>
          <w:szCs w:val="21"/>
          <w:highlight w:val="none"/>
        </w:rPr>
      </w:pPr>
      <w:r>
        <w:rPr>
          <w:rFonts w:hint="eastAsia" w:ascii="宋体" w:hAnsi="宋体" w:cs="宋体"/>
          <w:b/>
          <w:bCs/>
          <w:szCs w:val="21"/>
          <w:highlight w:val="none"/>
        </w:rPr>
        <w:t xml:space="preserve">软件应用涉及用户口令的，其密码管理强制要求满足强口令，不得允许弱口令获得权限。3.软件系统必须按照网络安全相关要求，定期进行网络安全检测，对发现存在的漏洞须按照院方要求在规定时间内进行处理，同时有应急处置方案</w:t>
      </w:r>
      <w:r>
        <w:rPr>
          <w:rFonts w:hint="eastAsia" w:ascii="宋体" w:hAnsi="宋体" w:cs="宋体"/>
          <w:szCs w:val="21"/>
          <w:highlight w:val="none"/>
        </w:rPr>
        <w:t xml:space="preserve">。</w:t>
      </w:r>
      <w:r/>
    </w:p>
    <w:p>
      <w:pPr>
        <w:spacing w:line="360" w:lineRule="auto"/>
        <w:rPr>
          <w:rFonts w:hint="eastAsia" w:ascii="宋体" w:hAnsi="宋体" w:cs="宋体"/>
          <w:b/>
          <w:szCs w:val="21"/>
          <w:highlight w:val="none"/>
        </w:rPr>
      </w:pPr>
      <w:r>
        <w:rPr>
          <w:rFonts w:hint="eastAsia" w:ascii="宋体" w:hAnsi="宋体" w:cs="宋体"/>
          <w:b/>
          <w:bCs/>
          <w:szCs w:val="21"/>
          <w:highlight w:val="none"/>
        </w:rPr>
        <w:t xml:space="preserve">注：供应商必须实质性响应并提供承诺书原件，否则作废标处理。</w:t>
      </w:r>
      <w:r/>
    </w:p>
    <w:p>
      <w:pPr>
        <w:pStyle w:val="1069"/>
        <w:contextualSpacing/>
        <w:ind w:left="500" w:hanging="500"/>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69"/>
        <w:contextualSpacing/>
        <w:ind w:left="500" w:hanging="500"/>
        <w:spacing w:line="360" w:lineRule="auto"/>
        <w:rPr>
          <w:rFonts w:hint="eastAsia" w:ascii="宋体" w:hAnsi="宋体" w:cs="宋体"/>
          <w:b/>
          <w:szCs w:val="21"/>
          <w:highlight w:val="none"/>
        </w:rPr>
      </w:pPr>
      <w:r>
        <w:rPr>
          <w:rFonts w:hint="eastAsia" w:ascii="宋体" w:hAnsi="宋体" w:cs="宋体"/>
          <w:b/>
          <w:szCs w:val="21"/>
          <w:highlight w:val="none"/>
        </w:rPr>
        <w:t xml:space="preserve">七、报价要求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本项目报价为</w:t>
      </w:r>
      <w:r>
        <w:rPr>
          <w:rFonts w:hint="eastAsia" w:ascii="宋体" w:hAnsi="宋体" w:cs="宋体"/>
          <w:b/>
          <w:bCs/>
          <w:szCs w:val="21"/>
          <w:highlight w:val="none"/>
        </w:rPr>
        <w:t xml:space="preserve">固定总价</w:t>
      </w:r>
      <w:r>
        <w:rPr>
          <w:rFonts w:hint="eastAsia" w:ascii="宋体" w:hAnsi="宋体" w:cs="宋体"/>
          <w:szCs w:val="21"/>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 </w:t>
      </w:r>
      <w:r/>
    </w:p>
    <w:p>
      <w:pPr>
        <w:pStyle w:val="853"/>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报价货币为人民币，评审时以人民币为准。</w:t>
      </w:r>
      <w:r/>
    </w:p>
    <w:p>
      <w:pPr>
        <w:rPr>
          <w:rFonts w:hint="eastAsia" w:ascii="宋体" w:hAnsi="宋体" w:cs="宋体"/>
          <w:szCs w:val="21"/>
          <w:highlight w:val="none"/>
        </w:rPr>
      </w:pPr>
      <w:r>
        <w:rPr>
          <w:rFonts w:hint="eastAsia" w:ascii="宋体" w:hAnsi="宋体" w:cs="宋体"/>
          <w:szCs w:val="21"/>
          <w:highlight w:val="none"/>
        </w:rPr>
      </w:r>
      <w:r/>
    </w:p>
    <w:p>
      <w:pPr>
        <w:jc w:val="center"/>
        <w:spacing w:line="360" w:lineRule="auto"/>
        <w:widowControl/>
        <w:rPr>
          <w:b/>
          <w:sz w:val="28"/>
          <w:szCs w:val="28"/>
        </w:rPr>
        <w:outlineLvl w:val="0"/>
      </w:pPr>
      <w:r/>
      <w:bookmarkStart w:id="647" w:name="_Toc11543"/>
      <w:r>
        <w:rPr>
          <w:rFonts w:hint="eastAsia"/>
          <w:b/>
          <w:sz w:val="28"/>
          <w:szCs w:val="28"/>
        </w:rPr>
        <w:t xml:space="preserve">第五章  </w:t>
      </w:r>
      <w:r>
        <w:rPr>
          <w:b/>
          <w:sz w:val="28"/>
          <w:szCs w:val="28"/>
        </w:rPr>
        <w:t xml:space="preserve">合同草案条款</w:t>
      </w:r>
      <w:bookmarkEnd w:id="647"/>
      <w:r/>
      <w:r/>
    </w:p>
    <w:p>
      <w:pPr>
        <w:pStyle w:val="1233"/>
      </w:pPr>
      <w:r/>
      <w:r/>
    </w:p>
    <w:p>
      <w:pPr>
        <w:pStyle w:val="830"/>
        <w:ind w:firstLine="422"/>
        <w:spacing w:line="332" w:lineRule="auto"/>
        <w:rPr>
          <w:rFonts w:hAnsi="宋体" w:cs="宋体"/>
          <w:szCs w:val="21"/>
        </w:rPr>
      </w:pPr>
      <w:r>
        <w:rPr>
          <w:rFonts w:hAnsi="宋体" w:cs="宋体"/>
          <w:b/>
          <w:szCs w:val="21"/>
        </w:rPr>
        <w:t xml:space="preserve">甲方： </w:t>
      </w:r>
      <w:r>
        <w:rPr>
          <w:rFonts w:hAnsi="宋体" w:cs="宋体"/>
          <w:szCs w:val="21"/>
          <w:u w:val="single"/>
        </w:rPr>
        <w:t xml:space="preserve">                         </w:t>
      </w:r>
      <w:r>
        <w:rPr>
          <w:rFonts w:hAnsi="宋体" w:cs="宋体"/>
          <w:b/>
          <w:szCs w:val="21"/>
        </w:rPr>
        <w:t xml:space="preserve">               </w:t>
      </w:r>
      <w:r>
        <w:rPr>
          <w:rFonts w:hAnsi="宋体" w:cs="宋体"/>
          <w:szCs w:val="21"/>
        </w:rPr>
        <w:t xml:space="preserve">项目编号：</w:t>
      </w:r>
      <w:r>
        <w:rPr>
          <w:rFonts w:hAnsi="宋体" w:cs="宋体"/>
          <w:szCs w:val="21"/>
          <w:u w:val="single"/>
        </w:rPr>
        <w:t xml:space="preserve">              </w:t>
      </w:r>
      <w:r/>
    </w:p>
    <w:p>
      <w:pPr>
        <w:pStyle w:val="830"/>
        <w:ind w:firstLine="422"/>
        <w:spacing w:line="332" w:lineRule="auto"/>
        <w:rPr>
          <w:rFonts w:hAnsi="宋体" w:cs="宋体"/>
          <w:szCs w:val="21"/>
          <w:u w:val="single"/>
        </w:rPr>
      </w:pPr>
      <w:r>
        <w:rPr>
          <w:rFonts w:hAnsi="宋体" w:cs="宋体"/>
          <w:b/>
          <w:szCs w:val="21"/>
        </w:rPr>
        <w:t xml:space="preserve">乙方： </w:t>
      </w:r>
      <w:r>
        <w:rPr>
          <w:rFonts w:hAnsi="宋体" w:cs="宋体"/>
          <w:b/>
          <w:szCs w:val="21"/>
          <w:u w:val="single"/>
        </w:rPr>
        <w:t xml:space="preserve">                         </w:t>
      </w:r>
      <w:r>
        <w:rPr>
          <w:rFonts w:hAnsi="宋体" w:cs="宋体"/>
          <w:b/>
          <w:szCs w:val="21"/>
        </w:rPr>
        <w:t xml:space="preserve">               </w:t>
      </w:r>
      <w:r>
        <w:rPr>
          <w:rFonts w:hAnsi="宋体" w:cs="宋体"/>
          <w:szCs w:val="21"/>
        </w:rPr>
        <w:t xml:space="preserve">合同时间： </w:t>
      </w:r>
      <w:r>
        <w:rPr>
          <w:rFonts w:hAnsi="宋体" w:cs="宋体"/>
          <w:szCs w:val="21"/>
          <w:u w:val="single"/>
        </w:rPr>
        <w:t xml:space="preserve">    年   月   日</w:t>
      </w:r>
      <w:r/>
    </w:p>
    <w:p>
      <w:pPr>
        <w:spacing w:line="360" w:lineRule="auto"/>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根据《中华人民共和国政府采购法》、《中华人民共和国民法典》等法律法规的规定，遵循平等、自愿、公平和诚实信用的原则，双方协商一致，共同达成如下协议：</w:t>
      </w:r>
      <w:r/>
    </w:p>
    <w:p>
      <w:pPr>
        <w:ind w:firstLine="422"/>
        <w:spacing w:line="332" w:lineRule="auto"/>
        <w:shd w:val="clear" w:color="auto" w:fill="ffffff"/>
        <w:widowControl/>
        <w:rPr>
          <w:rFonts w:hint="eastAsia" w:ascii="宋体" w:hAnsi="宋体" w:cs="宋体"/>
          <w:szCs w:val="21"/>
        </w:rPr>
      </w:pPr>
      <w:r/>
      <w:bookmarkStart w:id="648" w:name="_Toc475692078"/>
      <w:r/>
      <w:bookmarkStart w:id="649" w:name="_Toc4536"/>
      <w:r>
        <w:rPr>
          <w:rFonts w:hint="eastAsia" w:ascii="宋体" w:hAnsi="宋体" w:cs="宋体"/>
          <w:b/>
          <w:bCs/>
          <w:szCs w:val="21"/>
        </w:rPr>
        <w:t xml:space="preserve">第一条 合同标的</w:t>
      </w:r>
      <w:bookmarkEnd w:id="648"/>
      <w:r>
        <w:rPr>
          <w:rFonts w:hint="eastAsia" w:ascii="宋体" w:hAnsi="宋体" w:cs="宋体"/>
          <w:szCs w:val="21"/>
        </w:rPr>
        <w:t xml:space="preserve"> </w:t>
      </w:r>
      <w:bookmarkEnd w:id="649"/>
      <w:r/>
      <w:r/>
    </w:p>
    <w:p>
      <w:pPr>
        <w:ind w:firstLine="422"/>
        <w:spacing w:line="332" w:lineRule="auto"/>
        <w:shd w:val="clear" w:color="auto" w:fill="ffffff"/>
        <w:widowControl/>
        <w:rPr>
          <w:rFonts w:hint="eastAsia" w:ascii="宋体" w:hAnsi="宋体" w:cs="宋体"/>
          <w:color w:val="000000"/>
          <w:szCs w:val="21"/>
          <w:u w:val="single"/>
        </w:rPr>
      </w:pPr>
      <w:r>
        <w:rPr>
          <w:rFonts w:hint="eastAsia" w:ascii="宋体" w:hAnsi="宋体" w:cs="宋体"/>
          <w:color w:val="000000"/>
          <w:szCs w:val="21"/>
        </w:rPr>
        <w:t xml:space="preserve">乙方根据甲方要求提供下列服务：</w:t>
      </w:r>
      <w:r/>
    </w:p>
    <w:p>
      <w:pPr>
        <w:ind w:firstLine="422"/>
        <w:spacing w:line="332" w:lineRule="auto"/>
        <w:shd w:val="clear" w:color="auto" w:fill="ffffff"/>
        <w:widowControl/>
        <w:rPr>
          <w:rFonts w:hint="eastAsia" w:ascii="宋体" w:hAnsi="宋体" w:cs="宋体"/>
          <w:szCs w:val="21"/>
        </w:rPr>
      </w:pPr>
      <w:r>
        <w:rPr>
          <w:rFonts w:hint="eastAsia" w:ascii="宋体" w:hAnsi="宋体" w:cs="宋体"/>
          <w:szCs w:val="21"/>
        </w:rPr>
        <w:t xml:space="preserve">服务内容详见乙方投标文件及费用清单等。</w:t>
      </w:r>
      <w:r/>
    </w:p>
    <w:p>
      <w:pPr>
        <w:ind w:firstLine="420"/>
        <w:jc w:val="left"/>
        <w:spacing w:line="332" w:lineRule="auto"/>
        <w:shd w:val="clear" w:color="auto" w:fill="ffffff"/>
        <w:widowControl/>
        <w:rPr>
          <w:rFonts w:hint="eastAsia" w:ascii="宋体" w:hAnsi="宋体" w:cs="宋体"/>
          <w:szCs w:val="21"/>
        </w:rPr>
      </w:pPr>
      <w:r/>
      <w:bookmarkStart w:id="650" w:name="_Toc475692079"/>
      <w:r/>
      <w:bookmarkStart w:id="651" w:name="_Toc1799"/>
      <w:r>
        <w:rPr>
          <w:rFonts w:hint="eastAsia" w:ascii="宋体" w:hAnsi="宋体" w:cs="宋体"/>
          <w:b/>
          <w:bCs/>
          <w:szCs w:val="21"/>
        </w:rPr>
        <w:t xml:space="preserve">第二条 合同总价款</w:t>
      </w:r>
      <w:bookmarkEnd w:id="650"/>
      <w:r>
        <w:rPr>
          <w:rFonts w:hint="eastAsia" w:ascii="宋体" w:hAnsi="宋体" w:cs="宋体"/>
          <w:szCs w:val="21"/>
        </w:rPr>
        <w:t xml:space="preserve"> </w:t>
      </w:r>
      <w:bookmarkEnd w:id="651"/>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本合同项下服务总价为</w:t>
      </w:r>
      <w:r>
        <w:rPr>
          <w:rFonts w:hint="eastAsia" w:ascii="宋体" w:hAnsi="宋体" w:cs="宋体"/>
          <w:b/>
          <w:bCs/>
          <w:szCs w:val="21"/>
          <w:u w:val="single"/>
        </w:rPr>
        <w:t xml:space="preserve">           </w:t>
      </w:r>
      <w:r>
        <w:rPr>
          <w:rFonts w:hint="eastAsia" w:ascii="宋体" w:hAnsi="宋体" w:cs="宋体"/>
          <w:szCs w:val="21"/>
          <w:u w:val="single"/>
        </w:rPr>
        <w:t xml:space="preserve">元</w:t>
      </w:r>
      <w:r>
        <w:rPr>
          <w:rFonts w:hint="eastAsia" w:ascii="宋体" w:hAnsi="宋体" w:cs="宋体"/>
          <w:szCs w:val="21"/>
        </w:rPr>
        <w:t xml:space="preserve">（小写）人民币，总价款为</w:t>
      </w:r>
      <w:r>
        <w:rPr>
          <w:rFonts w:hint="eastAsia" w:ascii="宋体" w:hAnsi="宋体" w:cs="宋体"/>
          <w:szCs w:val="21"/>
          <w:u w:val="single"/>
        </w:rPr>
        <w:t xml:space="preserve">          </w:t>
      </w:r>
      <w:r>
        <w:rPr>
          <w:rFonts w:hint="eastAsia" w:ascii="宋体" w:hAnsi="宋体" w:cs="宋体"/>
          <w:szCs w:val="21"/>
        </w:rPr>
        <w:t xml:space="preserve">（大写）人民币，</w:t>
      </w:r>
      <w:r>
        <w:rPr>
          <w:rFonts w:hint="eastAsia" w:ascii="宋体" w:hAnsi="宋体" w:cs="宋体"/>
          <w:bCs/>
          <w:color w:val="000000"/>
          <w:szCs w:val="21"/>
        </w:rPr>
        <w:t xml:space="preserve">分项报价表详见附件1</w:t>
      </w:r>
      <w:r>
        <w:rPr>
          <w:rFonts w:hint="eastAsia" w:ascii="宋体" w:hAnsi="宋体" w:cs="宋体"/>
          <w:color w:val="000000"/>
          <w:szCs w:val="21"/>
        </w:rPr>
        <w:t xml:space="preserve">。</w:t>
      </w:r>
      <w:r/>
    </w:p>
    <w:p>
      <w:pPr>
        <w:ind w:firstLine="413"/>
        <w:spacing w:line="332" w:lineRule="auto"/>
        <w:shd w:val="clear" w:color="auto" w:fill="ffffff"/>
        <w:widowControl/>
        <w:rPr>
          <w:rFonts w:hint="eastAsia" w:ascii="宋体" w:hAnsi="宋体" w:cs="宋体"/>
          <w:szCs w:val="21"/>
        </w:rPr>
      </w:pPr>
      <w:r/>
      <w:bookmarkStart w:id="652" w:name="_Toc475692080"/>
      <w:r/>
      <w:bookmarkStart w:id="653" w:name="_Toc20055"/>
      <w:r>
        <w:rPr>
          <w:rFonts w:hint="eastAsia" w:ascii="宋体" w:hAnsi="宋体" w:cs="宋体"/>
          <w:b/>
          <w:bCs/>
          <w:szCs w:val="21"/>
        </w:rPr>
        <w:t xml:space="preserve">第三条 组成本合同的有关文件</w:t>
      </w:r>
      <w:bookmarkEnd w:id="652"/>
      <w:r>
        <w:rPr>
          <w:rFonts w:hint="eastAsia" w:ascii="宋体" w:hAnsi="宋体" w:cs="宋体"/>
          <w:szCs w:val="21"/>
        </w:rPr>
        <w:t xml:space="preserve">  </w:t>
      </w:r>
      <w:bookmarkEnd w:id="653"/>
      <w:r/>
      <w:r/>
    </w:p>
    <w:p>
      <w:pPr>
        <w:ind w:firstLine="411"/>
        <w:spacing w:line="332" w:lineRule="auto"/>
        <w:shd w:val="clear" w:color="auto" w:fill="ffffff"/>
        <w:widowControl/>
        <w:rPr>
          <w:rFonts w:hint="eastAsia" w:ascii="宋体" w:hAnsi="宋体" w:cs="宋体"/>
          <w:szCs w:val="21"/>
        </w:rPr>
      </w:pPr>
      <w:r>
        <w:rPr>
          <w:rFonts w:hint="eastAsia" w:ascii="宋体" w:hAnsi="宋体" w:cs="宋体"/>
          <w:szCs w:val="21"/>
        </w:rPr>
        <w:t xml:space="preserve">招标文件和有关附件是本合同不可分割的组成部分，与本合同具有同等法律效力。</w:t>
      </w:r>
      <w:r/>
    </w:p>
    <w:p>
      <w:pPr>
        <w:ind w:firstLine="420"/>
        <w:jc w:val="left"/>
        <w:spacing w:line="332" w:lineRule="auto"/>
        <w:shd w:val="clear" w:color="auto" w:fill="ffffff"/>
        <w:widowControl/>
        <w:rPr>
          <w:rFonts w:hint="eastAsia" w:ascii="宋体" w:hAnsi="宋体" w:cs="宋体"/>
          <w:szCs w:val="21"/>
        </w:rPr>
      </w:pPr>
      <w:r/>
      <w:bookmarkStart w:id="654" w:name="_Toc475692081"/>
      <w:r/>
      <w:bookmarkStart w:id="655" w:name="_Toc18715"/>
      <w:r>
        <w:rPr>
          <w:rFonts w:hint="eastAsia" w:ascii="宋体" w:hAnsi="宋体" w:cs="宋体"/>
          <w:b/>
          <w:bCs/>
          <w:szCs w:val="21"/>
        </w:rPr>
        <w:t xml:space="preserve">第四条 权利保证</w:t>
      </w:r>
      <w:bookmarkEnd w:id="654"/>
      <w:r/>
      <w:bookmarkEnd w:id="655"/>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乙方应保证为甲方提供全部及其任何一部分服务时不侵犯第三方的专利权、版权、商标权或其他合法权利。一旦因乙方过错出现侵权诉讼，乙方应承担全部责任。</w:t>
      </w:r>
      <w:r/>
    </w:p>
    <w:p>
      <w:pPr>
        <w:ind w:firstLine="420"/>
        <w:jc w:val="left"/>
        <w:spacing w:line="332" w:lineRule="auto"/>
        <w:shd w:val="clear" w:color="auto" w:fill="ffffff"/>
        <w:widowControl/>
        <w:rPr>
          <w:rFonts w:hint="eastAsia" w:ascii="宋体" w:hAnsi="宋体" w:cs="宋体"/>
          <w:szCs w:val="21"/>
        </w:rPr>
      </w:pPr>
      <w:r/>
      <w:bookmarkStart w:id="656" w:name="_Toc475692082"/>
      <w:r/>
      <w:bookmarkStart w:id="657" w:name="_Toc21349"/>
      <w:r>
        <w:rPr>
          <w:rFonts w:hint="eastAsia" w:ascii="宋体" w:hAnsi="宋体" w:cs="宋体"/>
          <w:b/>
          <w:bCs/>
          <w:szCs w:val="21"/>
        </w:rPr>
        <w:t xml:space="preserve">第五条 质量保证</w:t>
      </w:r>
      <w:bookmarkEnd w:id="656"/>
      <w:r/>
      <w:bookmarkEnd w:id="657"/>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乙方提供的服务必须全部达到采购文件相应要求；国家或行业有规定的，还要符合相应规定。</w:t>
      </w:r>
      <w:r/>
    </w:p>
    <w:p>
      <w:pPr>
        <w:ind w:firstLine="420"/>
        <w:jc w:val="left"/>
        <w:spacing w:line="332" w:lineRule="auto"/>
        <w:shd w:val="clear" w:color="auto" w:fill="ffffff"/>
        <w:widowControl/>
        <w:rPr>
          <w:rFonts w:hint="eastAsia" w:ascii="宋体" w:hAnsi="宋体" w:cs="宋体"/>
          <w:szCs w:val="21"/>
        </w:rPr>
      </w:pPr>
      <w:r/>
      <w:bookmarkStart w:id="658" w:name="_Toc16053"/>
      <w:r/>
      <w:bookmarkStart w:id="659" w:name="_Toc475692083"/>
      <w:r>
        <w:rPr>
          <w:rFonts w:hint="eastAsia" w:ascii="宋体" w:hAnsi="宋体" w:cs="宋体"/>
          <w:b/>
          <w:bCs/>
          <w:szCs w:val="21"/>
        </w:rPr>
        <w:t xml:space="preserve">第六条 交付使用和验收</w:t>
      </w:r>
      <w:bookmarkEnd w:id="658"/>
      <w:r/>
      <w:bookmarkEnd w:id="659"/>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1、乙方应当在采购文件约定时间内完成该项目并交付甲方使用。</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甲方自行组织或视情邀请相关专家或国家认可的质量检测机构参加验收，乙方提供的服务不符合采购文件和合同规定的，甲方有权拒收。</w:t>
      </w:r>
      <w:r/>
    </w:p>
    <w:p>
      <w:pPr>
        <w:ind w:firstLine="420"/>
        <w:jc w:val="left"/>
        <w:spacing w:line="332" w:lineRule="auto"/>
        <w:shd w:val="clear" w:color="auto" w:fill="ffffff"/>
        <w:widowControl/>
        <w:rPr>
          <w:rFonts w:hint="eastAsia" w:ascii="宋体" w:hAnsi="宋体" w:cs="宋体"/>
          <w:szCs w:val="21"/>
        </w:rPr>
      </w:pPr>
      <w:r/>
      <w:bookmarkStart w:id="660" w:name="_Toc12393"/>
      <w:r/>
      <w:bookmarkStart w:id="661" w:name="_Toc475692085"/>
      <w:r>
        <w:rPr>
          <w:rFonts w:hint="eastAsia" w:ascii="宋体" w:hAnsi="宋体" w:cs="宋体"/>
          <w:b/>
          <w:bCs/>
          <w:szCs w:val="21"/>
        </w:rPr>
        <w:t xml:space="preserve">第七条 合同款支付</w:t>
      </w:r>
      <w:bookmarkEnd w:id="660"/>
      <w:r/>
      <w:bookmarkEnd w:id="661"/>
      <w:r/>
      <w:r/>
    </w:p>
    <w:p>
      <w:pPr>
        <w:ind w:firstLine="420"/>
        <w:jc w:val="left"/>
        <w:spacing w:line="332" w:lineRule="auto"/>
        <w:shd w:val="clear" w:color="auto" w:fill="ffffff"/>
        <w:widowControl/>
        <w:rPr>
          <w:rFonts w:hint="eastAsia" w:ascii="宋体" w:hAnsi="宋体" w:cs="宋体"/>
          <w:szCs w:val="21"/>
        </w:rPr>
      </w:pPr>
      <w:r/>
      <w:bookmarkStart w:id="662" w:name="_Toc2515"/>
      <w:r>
        <w:rPr>
          <w:rFonts w:hint="eastAsia" w:ascii="宋体" w:hAnsi="宋体" w:cs="宋体"/>
          <w:szCs w:val="21"/>
        </w:rPr>
        <w:t xml:space="preserve">1、本合同项下所有款项均以人民币支付。</w:t>
      </w:r>
      <w:bookmarkEnd w:id="662"/>
      <w:r/>
      <w:r/>
    </w:p>
    <w:p>
      <w:pPr>
        <w:ind w:firstLine="420"/>
        <w:jc w:val="left"/>
        <w:spacing w:line="332" w:lineRule="auto"/>
        <w:shd w:val="clear" w:color="auto" w:fill="ffffff"/>
        <w:widowControl/>
        <w:rPr>
          <w:rFonts w:hint="eastAsia" w:ascii="宋体" w:hAnsi="宋体" w:cs="宋体"/>
          <w:szCs w:val="21"/>
        </w:rPr>
      </w:pPr>
      <w:r/>
      <w:bookmarkStart w:id="663" w:name="_Toc21941"/>
      <w:r>
        <w:rPr>
          <w:rFonts w:hint="eastAsia" w:ascii="宋体" w:hAnsi="宋体" w:cs="宋体"/>
          <w:szCs w:val="21"/>
        </w:rPr>
        <w:t xml:space="preserve">2、本合同项下的采购资金由甲方自行支付，乙方向甲方开具发票。</w:t>
      </w:r>
      <w:bookmarkEnd w:id="663"/>
      <w:r/>
      <w:r/>
    </w:p>
    <w:p>
      <w:pPr>
        <w:ind w:firstLine="420"/>
        <w:jc w:val="left"/>
        <w:spacing w:line="332" w:lineRule="auto"/>
        <w:shd w:val="clear" w:color="auto" w:fill="ffffff"/>
        <w:widowControl/>
        <w:rPr>
          <w:rFonts w:hint="eastAsia" w:ascii="宋体" w:hAnsi="宋体" w:cs="宋体"/>
          <w:spacing w:val="2"/>
          <w:szCs w:val="21"/>
        </w:rPr>
      </w:pPr>
      <w:r>
        <w:rPr>
          <w:rFonts w:hint="eastAsia" w:ascii="宋体" w:hAnsi="宋体" w:cs="宋体"/>
          <w:szCs w:val="21"/>
        </w:rPr>
        <w:t xml:space="preserve">3、付款方式</w:t>
      </w:r>
      <w:bookmarkStart w:id="664" w:name="_Toc475692086"/>
      <w:r>
        <w:rPr>
          <w:rFonts w:hint="eastAsia" w:ascii="宋体" w:hAnsi="宋体" w:cs="宋体"/>
          <w:szCs w:val="21"/>
        </w:rPr>
        <w:t xml:space="preserve">：</w:t>
      </w:r>
      <w:r/>
    </w:p>
    <w:p>
      <w:pPr>
        <w:ind w:firstLine="420"/>
        <w:jc w:val="left"/>
        <w:spacing w:line="332" w:lineRule="auto"/>
        <w:shd w:val="clear" w:color="auto" w:fill="ffffff"/>
        <w:widowControl/>
        <w:rPr>
          <w:rFonts w:hint="eastAsia" w:ascii="宋体" w:hAnsi="宋体" w:cs="宋体"/>
          <w:spacing w:val="2"/>
          <w:szCs w:val="21"/>
        </w:rPr>
      </w:pPr>
      <w:r>
        <w:rPr>
          <w:rFonts w:hint="eastAsia" w:ascii="宋体" w:hAnsi="宋体" w:cs="宋体"/>
          <w:szCs w:val="21"/>
        </w:rPr>
        <w:t xml:space="preserve">4、如项目有调整，按实际项目数量结算，总价不超过合同价。</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b/>
          <w:bCs/>
          <w:szCs w:val="21"/>
        </w:rPr>
        <w:t xml:space="preserve">第八条 违约责任</w:t>
      </w:r>
      <w:bookmarkEnd w:id="664"/>
      <w:r>
        <w:rPr>
          <w:rFonts w:hint="eastAsia" w:ascii="宋体" w:hAnsi="宋体" w:cs="宋体"/>
          <w:b/>
          <w:bCs/>
          <w:szCs w:val="21"/>
        </w:rPr>
        <w:t xml:space="preserve">  </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1、甲方无正当理由拒绝验收或拒付款的，甲方向乙方偿付合同总价的5%违约金。</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2、如乙方不能按期交付服务的，甲方有权扣留全部履约保证金；同时乙方应向甲方支付合同总价5%的违约金。</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3、乙方逾期交付的，每逾期1天，乙方向甲方偿付合同总额的5‰的滞纳金。如乙方逾期交付达</w:t>
      </w:r>
      <w:r/>
    </w:p>
    <w:p>
      <w:pPr>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10天，甲方有权解除合同，解除合同的通知自到达乙方时生效。乙方逾期交付的，今后参加政府采购</w:t>
      </w:r>
      <w:r/>
    </w:p>
    <w:p>
      <w:pPr>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信誉将受到影响。</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4、乙方在承担违约责任后，仍应继续履行合同规定的义务（甲方解除合同的除外）。甲方未能及时追究乙方的任何一项违约责任并不表明甲方放弃追究乙方该项或其他违约责任。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5、乙方虚假承诺，或经权威部门检测提供的服务不能满足采购文件要求，或是由于乙方的过错造成合同无法继续履行的，乙方履约保证金不予退还外，还应向甲方支付不少于合同总价30%赔偿金。</w:t>
      </w:r>
      <w:r/>
    </w:p>
    <w:p>
      <w:pPr>
        <w:ind w:firstLine="420"/>
        <w:jc w:val="left"/>
        <w:spacing w:line="332" w:lineRule="auto"/>
        <w:shd w:val="clear" w:color="auto" w:fill="ffffff"/>
        <w:widowControl/>
        <w:rPr>
          <w:rFonts w:hint="eastAsia" w:ascii="宋体" w:hAnsi="宋体" w:cs="宋体"/>
          <w:szCs w:val="21"/>
        </w:rPr>
      </w:pPr>
      <w:r/>
      <w:bookmarkStart w:id="665" w:name="_Toc32414"/>
      <w:r/>
      <w:bookmarkStart w:id="666" w:name="_Toc475692087"/>
      <w:r>
        <w:rPr>
          <w:rFonts w:hint="eastAsia" w:ascii="宋体" w:hAnsi="宋体" w:cs="宋体"/>
          <w:b/>
          <w:bCs/>
          <w:szCs w:val="21"/>
        </w:rPr>
        <w:t xml:space="preserve">第九条 合同的变更和终止</w:t>
      </w:r>
      <w:bookmarkEnd w:id="665"/>
      <w:r/>
      <w:bookmarkEnd w:id="666"/>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20"/>
        <w:jc w:val="left"/>
        <w:spacing w:line="332" w:lineRule="auto"/>
        <w:shd w:val="clear" w:color="auto" w:fill="ffffff"/>
        <w:widowControl/>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2、除发生法律规定的不能预见、不能避免并不能克服的客观情况外，甲乙双方不得放弃或拒绝履行合同。乙方放弃或拒绝履行合同，保证金不予退还，并赔偿甲方因此遭受的各项损失</w:t>
      </w:r>
      <w:r>
        <w:rPr>
          <w:rFonts w:hint="eastAsia" w:ascii="宋体" w:hAnsi="宋体" w:cs="宋体"/>
          <w:color w:val="000000"/>
          <w:szCs w:val="21"/>
        </w:rPr>
        <w:t xml:space="preserve">，在三年内不得参加甲方组织的招标。</w:t>
      </w:r>
      <w:r/>
    </w:p>
    <w:p>
      <w:pPr>
        <w:ind w:firstLine="422"/>
        <w:spacing w:line="332" w:lineRule="auto"/>
        <w:rPr>
          <w:rFonts w:hint="eastAsia" w:ascii="宋体" w:hAnsi="宋体" w:cs="宋体"/>
          <w:b/>
          <w:bCs/>
          <w:color w:val="000000"/>
          <w:szCs w:val="21"/>
        </w:rPr>
      </w:pPr>
      <w:r>
        <w:rPr>
          <w:rFonts w:hint="eastAsia" w:ascii="宋体" w:hAnsi="宋体" w:cs="宋体"/>
          <w:b/>
          <w:bCs/>
          <w:color w:val="000000"/>
          <w:szCs w:val="21"/>
        </w:rPr>
        <w:t xml:space="preserve">第十条、合同标的减少与追加处理</w:t>
      </w:r>
      <w:r/>
    </w:p>
    <w:p>
      <w:pPr>
        <w:ind w:firstLine="420"/>
        <w:spacing w:line="332" w:lineRule="auto"/>
        <w:rPr>
          <w:rFonts w:hint="eastAsia" w:ascii="宋体" w:hAnsi="宋体" w:cs="宋体"/>
          <w:color w:val="000000"/>
          <w:szCs w:val="21"/>
        </w:rPr>
      </w:pPr>
      <w:r>
        <w:rPr>
          <w:rFonts w:hint="eastAsia" w:ascii="宋体" w:hAnsi="宋体" w:cs="宋体"/>
          <w:color w:val="000000"/>
          <w:szCs w:val="21"/>
        </w:rPr>
        <w:t xml:space="preserve">1.如因在合同履行过程中有变更，存在减少有关服务数量或质量情况，经甲乙双方现场确认，报经审批后，按乙方中标时的固定单价对总价进行调减，并按有关规定签订补充合同。</w:t>
      </w:r>
      <w:r/>
    </w:p>
    <w:p>
      <w:pPr>
        <w:ind w:firstLine="420"/>
        <w:spacing w:line="332" w:lineRule="auto"/>
        <w:rPr>
          <w:rFonts w:hint="eastAsia" w:ascii="宋体" w:hAnsi="宋体" w:cs="宋体"/>
          <w:color w:val="000000"/>
          <w:szCs w:val="21"/>
        </w:rPr>
      </w:pPr>
      <w:r>
        <w:rPr>
          <w:rFonts w:hint="eastAsia" w:ascii="宋体" w:hAnsi="宋体" w:cs="宋体"/>
          <w:color w:val="000000"/>
          <w:szCs w:val="21"/>
        </w:rPr>
        <w:t xml:space="preserve">2.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如追加的服务总价超过本合同金额的10%，按有关规定处理。</w:t>
      </w:r>
      <w:r/>
    </w:p>
    <w:p>
      <w:pPr>
        <w:pStyle w:val="830"/>
        <w:spacing w:line="332" w:lineRule="auto"/>
        <w:rPr>
          <w:rFonts w:hAnsi="宋体" w:cs="宋体"/>
          <w:b/>
          <w:szCs w:val="21"/>
        </w:rPr>
      </w:pPr>
      <w:r>
        <w:rPr>
          <w:rFonts w:hAnsi="宋体" w:cs="宋体"/>
          <w:b/>
          <w:szCs w:val="21"/>
        </w:rPr>
        <w:t xml:space="preserve">   </w:t>
      </w:r>
      <w:r>
        <w:rPr>
          <w:rFonts w:hAnsi="宋体" w:cs="宋体"/>
          <w:b/>
          <w:bCs/>
          <w:color w:val="000000"/>
          <w:szCs w:val="21"/>
        </w:rPr>
        <w:t xml:space="preserve">第十一条、争议的解决</w:t>
      </w:r>
      <w:r/>
    </w:p>
    <w:p>
      <w:pPr>
        <w:spacing w:line="332" w:lineRule="auto"/>
        <w:tabs>
          <w:tab w:val="left" w:pos="420" w:leader="none"/>
        </w:tabs>
        <w:rPr>
          <w:rFonts w:hint="eastAsia" w:ascii="宋体" w:hAnsi="宋体" w:cs="宋体"/>
          <w:szCs w:val="21"/>
        </w:rPr>
      </w:pPr>
      <w:r>
        <w:rPr>
          <w:rFonts w:hint="eastAsia" w:ascii="宋体" w:hAnsi="宋体" w:cs="宋体"/>
          <w:szCs w:val="21"/>
        </w:rPr>
        <w:t xml:space="preserve">    1.凡因本合同的履行引起的或与本合同有关的任何争议，双方应友好协商解决。</w:t>
      </w:r>
      <w:r/>
    </w:p>
    <w:p>
      <w:pPr>
        <w:pStyle w:val="833"/>
        <w:ind w:firstLine="0"/>
        <w:spacing w:line="332" w:lineRule="auto"/>
        <w:tabs>
          <w:tab w:val="left" w:pos="420" w:leader="none"/>
          <w:tab w:val="left" w:pos="450" w:leader="none"/>
          <w:tab w:val="left" w:pos="1134" w:leader="none"/>
        </w:tabs>
        <w:rPr>
          <w:rFonts w:hint="eastAsia" w:ascii="宋体" w:hAnsi="宋体" w:eastAsia="宋体" w:cs="宋体"/>
          <w:sz w:val="21"/>
          <w:szCs w:val="21"/>
        </w:rPr>
      </w:pPr>
      <w:r>
        <w:rPr>
          <w:rFonts w:hint="eastAsia" w:ascii="宋体" w:hAnsi="宋体" w:cs="宋体"/>
          <w:szCs w:val="21"/>
        </w:rPr>
        <w:t xml:space="preserve">   </w:t>
      </w:r>
      <w:r>
        <w:rPr>
          <w:rFonts w:hint="eastAsia" w:ascii="宋体" w:hAnsi="宋体" w:eastAsia="宋体" w:cs="宋体"/>
          <w:sz w:val="21"/>
          <w:szCs w:val="21"/>
        </w:rPr>
        <w:t xml:space="preserve"> 2.因履行本合同发生争议协商解决不成的，</w:t>
      </w:r>
      <w:r>
        <w:rPr>
          <w:rFonts w:hint="eastAsia" w:ascii="宋体" w:hAnsi="宋体" w:eastAsia="宋体" w:cs="宋体"/>
          <w:sz w:val="21"/>
          <w:szCs w:val="21"/>
          <w:lang w:val="zh-CN"/>
        </w:rPr>
        <w:t xml:space="preserve">则采取以下第</w:t>
      </w:r>
      <w:r>
        <w:rPr>
          <w:rFonts w:hint="eastAsia" w:ascii="宋体" w:hAnsi="宋体" w:eastAsia="宋体" w:cs="宋体"/>
          <w:sz w:val="21"/>
          <w:szCs w:val="21"/>
          <w:u w:val="single"/>
          <w:lang w:val="zh-CN"/>
        </w:rPr>
        <w:t xml:space="preserve">（</w:t>
      </w:r>
      <w:r>
        <w:rPr>
          <w:rFonts w:hint="eastAsia" w:ascii="宋体" w:hAnsi="宋体" w:eastAsia="宋体" w:cs="宋体"/>
          <w:sz w:val="21"/>
          <w:szCs w:val="21"/>
          <w:u w:val="single"/>
        </w:rPr>
        <w:t xml:space="preserve">1</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种方式解决争议</w:t>
      </w:r>
      <w:r>
        <w:rPr>
          <w:rFonts w:hint="eastAsia" w:ascii="宋体" w:hAnsi="宋体" w:eastAsia="宋体" w:cs="宋体"/>
          <w:sz w:val="21"/>
          <w:szCs w:val="21"/>
        </w:rPr>
        <w:t xml:space="preserve">：</w:t>
      </w:r>
      <w:r/>
    </w:p>
    <w:p>
      <w:pPr>
        <w:ind w:firstLine="420"/>
        <w:jc w:val="left"/>
        <w:spacing w:line="332"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420"/>
        <w:jc w:val="left"/>
        <w:spacing w:line="332"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（2）向常州仲裁委员会按其仲裁规则申请仲裁。</w:t>
      </w:r>
      <w:r/>
    </w:p>
    <w:p>
      <w:pPr>
        <w:jc w:val="left"/>
        <w:spacing w:line="332" w:lineRule="auto"/>
        <w:widowControl/>
        <w:rPr>
          <w:rFonts w:hint="eastAsia" w:ascii="宋体" w:hAnsi="宋体" w:cs="宋体"/>
          <w:color w:val="000000"/>
          <w:szCs w:val="21"/>
          <w:lang w:val="zh-CN"/>
        </w:rPr>
      </w:pPr>
      <w:r>
        <w:rPr>
          <w:rFonts w:hint="eastAsia" w:ascii="宋体" w:hAnsi="宋体" w:cs="宋体"/>
          <w:color w:val="000000"/>
          <w:szCs w:val="21"/>
        </w:rPr>
        <w:t xml:space="preserve">    </w:t>
      </w:r>
      <w:r>
        <w:rPr>
          <w:rFonts w:hint="eastAsia" w:ascii="宋体" w:hAnsi="宋体" w:cs="宋体"/>
          <w:color w:val="000000"/>
          <w:szCs w:val="21"/>
          <w:lang w:val="zh-CN"/>
        </w:rPr>
        <w:t xml:space="preserve">3.在仲裁期间，本合同应继续履行。</w:t>
      </w:r>
      <w:r/>
    </w:p>
    <w:p>
      <w:pPr>
        <w:pStyle w:val="830"/>
        <w:spacing w:line="332" w:lineRule="auto"/>
        <w:rPr>
          <w:rFonts w:hAnsi="宋体" w:cs="宋体"/>
          <w:b/>
          <w:szCs w:val="21"/>
        </w:rPr>
      </w:pPr>
      <w:r>
        <w:rPr>
          <w:rFonts w:hAnsi="宋体" w:cs="宋体"/>
          <w:b/>
          <w:szCs w:val="21"/>
        </w:rPr>
        <w:t xml:space="preserve">  </w:t>
      </w:r>
      <w:r>
        <w:rPr>
          <w:rFonts w:hAnsi="宋体" w:cs="宋体"/>
          <w:b/>
          <w:bCs/>
          <w:color w:val="000000"/>
          <w:szCs w:val="21"/>
        </w:rPr>
        <w:t xml:space="preserve">第十二条、生效和其他</w:t>
      </w:r>
      <w:r/>
    </w:p>
    <w:p>
      <w:pPr>
        <w:ind w:firstLine="420"/>
        <w:spacing w:line="332" w:lineRule="auto"/>
        <w:rPr>
          <w:rFonts w:hint="eastAsia" w:ascii="宋体" w:hAnsi="宋体" w:cs="宋体"/>
          <w:szCs w:val="21"/>
        </w:rPr>
      </w:pPr>
      <w:r>
        <w:rPr>
          <w:rFonts w:hint="eastAsia" w:ascii="宋体" w:hAnsi="宋体" w:cs="宋体"/>
          <w:szCs w:val="21"/>
        </w:rPr>
        <w:t xml:space="preserve">1.本合同经双方加盖公章（合同专用章）后生效。</w:t>
      </w:r>
      <w:r/>
    </w:p>
    <w:p>
      <w:pPr>
        <w:ind w:firstLine="420"/>
        <w:spacing w:line="332" w:lineRule="auto"/>
        <w:rPr>
          <w:rFonts w:hint="eastAsia" w:ascii="宋体" w:hAnsi="宋体" w:cs="宋体"/>
          <w:szCs w:val="21"/>
        </w:rPr>
      </w:pPr>
      <w:r>
        <w:rPr>
          <w:rFonts w:hint="eastAsia" w:ascii="宋体" w:hAnsi="宋体" w:cs="宋体"/>
          <w:szCs w:val="21"/>
        </w:rPr>
        <w:t xml:space="preserve">2.双方应各指定一名授权代表，负责直接处理与本合同履行有关的技术和商务事宜。双方授权代表的名称和通讯地址在本合同签署的同时书面通知对方。</w:t>
      </w:r>
      <w:r/>
    </w:p>
    <w:p>
      <w:pPr>
        <w:ind w:firstLine="420"/>
        <w:spacing w:line="332" w:lineRule="auto"/>
        <w:rPr>
          <w:rFonts w:hint="eastAsia" w:ascii="宋体" w:hAnsi="宋体" w:cs="宋体"/>
          <w:szCs w:val="21"/>
        </w:rPr>
      </w:pPr>
      <w:r>
        <w:rPr>
          <w:rFonts w:hint="eastAsia" w:ascii="宋体" w:hAnsi="宋体" w:cs="宋体"/>
          <w:szCs w:val="21"/>
        </w:rPr>
        <w:t xml:space="preserve">3.本合同履行期间双方间的通讯往来应采用书面方式。涉及重要事项的传真应随后立即以挂号信件或特快专递确认。</w:t>
      </w:r>
      <w:r/>
    </w:p>
    <w:p>
      <w:pPr>
        <w:ind w:firstLine="420"/>
        <w:spacing w:line="332" w:lineRule="auto"/>
        <w:rPr>
          <w:rFonts w:hint="eastAsia" w:ascii="宋体" w:hAnsi="宋体" w:cs="宋体"/>
          <w:szCs w:val="21"/>
        </w:rPr>
      </w:pPr>
      <w:r>
        <w:rPr>
          <w:rFonts w:hint="eastAsia" w:ascii="宋体" w:hAnsi="宋体" w:cs="宋体"/>
          <w:szCs w:val="21"/>
        </w:rPr>
        <w:t xml:space="preserve">4. 本协议一式陆份，甲方持有叁份，乙方持有贰份，代理机构持有壹份。</w:t>
      </w:r>
      <w:r/>
    </w:p>
    <w:p>
      <w:pPr>
        <w:jc w:val="left"/>
        <w:spacing w:line="332" w:lineRule="auto"/>
        <w:rPr>
          <w:rFonts w:hint="eastAsia" w:ascii="宋体" w:hAnsi="宋体" w:cs="宋体"/>
          <w:b/>
          <w:bCs/>
          <w:szCs w:val="21"/>
        </w:rPr>
      </w:pPr>
      <w:r>
        <w:rPr>
          <w:rFonts w:hint="eastAsia" w:ascii="宋体" w:hAnsi="宋体" w:cs="宋体"/>
          <w:b/>
          <w:bCs/>
          <w:szCs w:val="21"/>
        </w:rPr>
      </w:r>
      <w:r/>
    </w:p>
    <w:p>
      <w:pPr>
        <w:ind w:firstLine="310"/>
        <w:jc w:val="left"/>
        <w:spacing w:line="332" w:lineRule="auto"/>
        <w:rPr>
          <w:rFonts w:hint="eastAsia" w:ascii="宋体" w:hAnsi="宋体" w:cs="宋体"/>
          <w:b/>
          <w:bCs/>
          <w:szCs w:val="21"/>
        </w:rPr>
      </w:pPr>
      <w:r>
        <w:rPr>
          <w:rFonts w:hint="eastAsia" w:ascii="宋体" w:hAnsi="宋体" w:cs="宋体"/>
          <w:b/>
          <w:bCs/>
          <w:szCs w:val="21"/>
        </w:rPr>
        <w:t xml:space="preserve">注：最终以甲乙双方签订为准，一切解释权归甲方所有。</w:t>
      </w:r>
      <w:r/>
    </w:p>
    <w:p>
      <w:pPr>
        <w:jc w:val="left"/>
        <w:spacing w:line="332" w:lineRule="auto"/>
        <w:rPr>
          <w:rFonts w:hint="eastAsia" w:ascii="宋体" w:hAnsi="宋体" w:cs="宋体"/>
          <w:b/>
          <w:bCs/>
          <w:szCs w:val="21"/>
        </w:rPr>
      </w:pPr>
      <w:r>
        <w:rPr>
          <w:rFonts w:hint="eastAsia" w:ascii="宋体" w:hAnsi="宋体" w:cs="宋体"/>
          <w:b/>
          <w:bCs/>
          <w:szCs w:val="21"/>
        </w:rPr>
      </w:r>
      <w:r/>
    </w:p>
    <w:p>
      <w:pPr>
        <w:jc w:val="left"/>
        <w:spacing w:line="332" w:lineRule="auto"/>
        <w:rPr>
          <w:rFonts w:hint="eastAsia" w:ascii="宋体" w:hAnsi="宋体" w:cs="宋体"/>
          <w:szCs w:val="21"/>
        </w:rPr>
      </w:pPr>
      <w:r>
        <w:rPr>
          <w:rFonts w:hint="eastAsia" w:ascii="宋体" w:hAnsi="宋体" w:cs="宋体"/>
          <w:b/>
          <w:bCs/>
          <w:szCs w:val="21"/>
        </w:rPr>
        <w:t xml:space="preserve">甲    方</w:t>
      </w:r>
      <w:r>
        <w:rPr>
          <w:rFonts w:hint="eastAsia" w:ascii="宋体" w:hAnsi="宋体" w:cs="宋体"/>
          <w:szCs w:val="21"/>
        </w:rPr>
        <w:t xml:space="preserve">：                                </w:t>
      </w:r>
      <w:r>
        <w:rPr>
          <w:rFonts w:hint="eastAsia" w:ascii="宋体" w:hAnsi="宋体" w:cs="宋体"/>
          <w:b/>
          <w:bCs/>
          <w:szCs w:val="21"/>
        </w:rPr>
        <w:t xml:space="preserve">乙    方</w:t>
      </w:r>
      <w:r>
        <w:rPr>
          <w:rFonts w:hint="eastAsia" w:ascii="宋体" w:hAnsi="宋体" w:cs="宋体"/>
          <w:szCs w:val="21"/>
        </w:rPr>
        <w:t xml:space="preserve">：</w:t>
      </w:r>
      <w:r/>
    </w:p>
    <w:p>
      <w:pPr>
        <w:spacing w:line="332" w:lineRule="auto"/>
        <w:rPr>
          <w:rFonts w:hint="eastAsia" w:ascii="宋体" w:hAnsi="宋体" w:cs="宋体"/>
          <w:szCs w:val="21"/>
          <w:u w:val="single"/>
        </w:rPr>
      </w:pPr>
      <w:r>
        <w:rPr>
          <w:rFonts w:hint="eastAsia" w:ascii="宋体" w:hAnsi="宋体" w:cs="宋体"/>
          <w:szCs w:val="21"/>
        </w:rPr>
        <w:t xml:space="preserve">单位名称（章）：</w:t>
      </w:r>
      <w:r>
        <w:rPr>
          <w:rFonts w:hint="eastAsia" w:ascii="宋体" w:hAnsi="宋体" w:cs="宋体"/>
          <w:szCs w:val="21"/>
          <w:u w:val="single"/>
        </w:rPr>
        <w:t xml:space="preserve">                 </w:t>
      </w:r>
      <w:r>
        <w:rPr>
          <w:rFonts w:hint="eastAsia" w:ascii="宋体" w:hAnsi="宋体" w:cs="宋体"/>
          <w:szCs w:val="21"/>
        </w:rPr>
        <w:t xml:space="preserve">         单位名称（章）：      </w:t>
      </w:r>
      <w:r>
        <w:rPr>
          <w:rFonts w:hint="eastAsia" w:ascii="宋体" w:hAnsi="宋体" w:cs="宋体"/>
          <w:szCs w:val="21"/>
          <w:u w:val="single"/>
        </w:rPr>
        <w:t xml:space="preserve">                      </w:t>
      </w:r>
      <w:r/>
    </w:p>
    <w:p>
      <w:pPr>
        <w:spacing w:line="332" w:lineRule="auto"/>
        <w:rPr>
          <w:rFonts w:hint="eastAsia" w:ascii="宋体" w:hAnsi="宋体" w:cs="宋体"/>
          <w:szCs w:val="21"/>
          <w:u w:val="single"/>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t xml:space="preserve">          单位地址：</w:t>
      </w:r>
      <w:r>
        <w:rPr>
          <w:rFonts w:hint="eastAsia" w:ascii="宋体" w:hAnsi="宋体" w:cs="宋体"/>
          <w:szCs w:val="21"/>
          <w:u w:val="single"/>
        </w:rPr>
        <w:t xml:space="preserve">                    </w:t>
      </w:r>
      <w:r>
        <w:rPr>
          <w:rFonts w:hint="eastAsia" w:ascii="宋体" w:hAnsi="宋体" w:cs="宋体"/>
          <w:szCs w:val="21"/>
        </w:rPr>
        <w:t xml:space="preserve">    </w:t>
      </w:r>
      <w:r/>
    </w:p>
    <w:p>
      <w:pPr>
        <w:spacing w:line="332" w:lineRule="auto"/>
        <w:rPr>
          <w:rFonts w:hint="eastAsia" w:ascii="宋体" w:hAnsi="宋体" w:cs="宋体"/>
          <w:szCs w:val="21"/>
        </w:rPr>
      </w:pPr>
      <w:r>
        <w:rPr>
          <w:rFonts w:hint="eastAsia" w:ascii="宋体" w:hAnsi="宋体" w:cs="宋体"/>
          <w:szCs w:val="21"/>
        </w:rPr>
        <w:t xml:space="preserve">法定代表人或委托代理人：                  法定代表人或委托代理人：</w:t>
      </w:r>
      <w:r/>
    </w:p>
    <w:p>
      <w:pPr>
        <w:spacing w:line="332" w:lineRule="auto"/>
        <w:rPr>
          <w:rFonts w:hint="eastAsia" w:ascii="宋体" w:hAnsi="宋体" w:cs="宋体"/>
          <w:szCs w:val="21"/>
        </w:rPr>
      </w:pPr>
      <w:r>
        <w:rPr>
          <w:rFonts w:hint="eastAsia" w:ascii="宋体" w:hAnsi="宋体" w:cs="宋体"/>
          <w:szCs w:val="21"/>
        </w:rPr>
        <w:t xml:space="preserve">电话：                                    电话：             传真：</w:t>
      </w:r>
      <w:r/>
    </w:p>
    <w:p>
      <w:pPr>
        <w:spacing w:line="332" w:lineRule="auto"/>
        <w:rPr>
          <w:rFonts w:hint="eastAsia" w:ascii="宋体" w:hAnsi="宋体" w:cs="宋体"/>
          <w:szCs w:val="21"/>
        </w:rPr>
      </w:pPr>
      <w:r/>
      <w:bookmarkStart w:id="667" w:name="_Toc24423"/>
      <w:r>
        <w:rPr>
          <w:rFonts w:hint="eastAsia" w:ascii="宋体" w:hAnsi="宋体" w:cs="宋体"/>
          <w:szCs w:val="21"/>
        </w:rPr>
        <w:t xml:space="preserve">传真：                                    开户银行：         帐号</w:t>
      </w:r>
      <w:bookmarkEnd w:id="667"/>
      <w:r>
        <w:rPr>
          <w:rFonts w:hint="eastAsia" w:ascii="宋体" w:hAnsi="宋体" w:cs="宋体"/>
          <w:szCs w:val="21"/>
        </w:rPr>
        <w:t xml:space="preserve">：                     </w:t>
      </w:r>
      <w:r/>
    </w:p>
    <w:p>
      <w:pPr>
        <w:jc w:val="center"/>
        <w:spacing w:line="332" w:lineRule="auto"/>
        <w:rPr>
          <w:b/>
          <w:sz w:val="36"/>
          <w:szCs w:val="36"/>
        </w:rPr>
        <w:outlineLvl w:val="0"/>
      </w:pPr>
      <w:r/>
      <w:bookmarkStart w:id="668" w:name="_Toc26350"/>
      <w:r/>
      <w:bookmarkStart w:id="669" w:name="_Toc19821"/>
      <w:r>
        <w:rPr>
          <w:b/>
          <w:sz w:val="28"/>
          <w:szCs w:val="28"/>
        </w:rPr>
        <w:t xml:space="preserve">第六章   响应文件格式</w:t>
      </w:r>
      <w:bookmarkEnd w:id="668"/>
      <w:r/>
      <w:bookmarkEnd w:id="669"/>
      <w:r/>
      <w:r/>
    </w:p>
    <w:p>
      <w:pPr>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r>
      <w:r/>
    </w:p>
    <w:p>
      <w:pPr>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对于竞争性磋商文件成交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rPr>
          <w:b/>
          <w:spacing w:val="20"/>
          <w:szCs w:val="21"/>
        </w:rPr>
      </w:pPr>
      <w:r>
        <w:rPr>
          <w:b/>
          <w:spacing w:val="20"/>
          <w:szCs w:val="21"/>
        </w:rPr>
      </w:r>
      <w:r/>
    </w:p>
    <w:p>
      <w:pPr>
        <w:jc w:val="center"/>
        <w:rPr>
          <w:b/>
          <w:spacing w:val="20"/>
          <w:sz w:val="24"/>
        </w:rPr>
      </w:pPr>
      <w:r>
        <w:rPr>
          <w:b/>
          <w:spacing w:val="20"/>
          <w:sz w:val="24"/>
        </w:rPr>
      </w:r>
      <w:r/>
    </w:p>
    <w:p>
      <w:pPr>
        <w:jc w:val="center"/>
        <w:rPr>
          <w:b/>
          <w:sz w:val="28"/>
          <w:szCs w:val="28"/>
        </w:rPr>
      </w:pPr>
      <w:r>
        <w:rPr>
          <w:b/>
          <w:spacing w:val="20"/>
          <w:sz w:val="28"/>
          <w:szCs w:val="28"/>
        </w:rPr>
        <w:t xml:space="preserve">响应文件</w:t>
      </w:r>
      <w:r>
        <w:rPr>
          <w:b/>
          <w:sz w:val="28"/>
          <w:szCs w:val="28"/>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pStyle w:val="803"/>
      </w:pPr>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03"/>
      </w:pPr>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pStyle w:val="803"/>
      </w:pPr>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spacing w:line="360" w:lineRule="auto"/>
        <w:rPr>
          <w:rFonts w:hint="eastAsia" w:ascii="宋体" w:hAnsi="宋体" w:cs="宋体"/>
          <w:szCs w:val="21"/>
        </w:rPr>
      </w:pPr>
      <w:r>
        <w:rPr>
          <w:b/>
          <w:spacing w:val="20"/>
          <w:sz w:val="32"/>
          <w:szCs w:val="32"/>
        </w:rPr>
        <w:br w:type="page" w:clear="all"/>
      </w:r>
      <w:r>
        <w:rPr>
          <w:rFonts w:hint="eastAsia" w:ascii="宋体" w:hAnsi="宋体" w:cs="宋体"/>
          <w:b/>
          <w:bCs/>
          <w:szCs w:val="21"/>
        </w:rPr>
        <w:t xml:space="preserve">1、满足《中华人民共和国政府采购法》第二十二条规定及法律法规的其他规定</w:t>
      </w:r>
      <w:r/>
    </w:p>
    <w:p>
      <w:pPr>
        <w:spacing w:line="360" w:lineRule="auto"/>
        <w:tabs>
          <w:tab w:val="left" w:pos="900" w:leader="none"/>
          <w:tab w:val="left" w:pos="1980" w:leader="none"/>
        </w:tabs>
        <w:rPr>
          <w:rFonts w:hint="eastAsia" w:ascii="宋体" w:hAnsi="宋体" w:cs="宋体"/>
          <w:b/>
          <w:bCs/>
          <w:szCs w:val="21"/>
        </w:rPr>
      </w:pPr>
      <w:r>
        <w:rPr>
          <w:rFonts w:hint="eastAsia" w:ascii="宋体" w:hAnsi="宋体" w:cs="宋体"/>
          <w:b/>
          <w:bCs/>
          <w:szCs w:val="21"/>
        </w:rPr>
        <w:t xml:space="preserve">1-1 供应商资格声明函（实质性格式）</w:t>
      </w:r>
      <w:r/>
    </w:p>
    <w:p>
      <w:pPr>
        <w:jc w:val="center"/>
        <w:spacing w:before="120" w:line="360" w:lineRule="auto"/>
        <w:widowControl/>
        <w:rPr>
          <w:rFonts w:hint="eastAsia" w:ascii="宋体" w:hAnsi="宋体" w:cs="宋体"/>
          <w:sz w:val="24"/>
        </w:rPr>
      </w:pPr>
      <w:r>
        <w:rPr>
          <w:rFonts w:hint="eastAsia" w:ascii="宋体" w:hAnsi="宋体" w:cs="宋体"/>
          <w:b/>
          <w:sz w:val="24"/>
        </w:rPr>
        <w:t xml:space="preserve">供应商资格声明函</w:t>
      </w:r>
      <w:r/>
    </w:p>
    <w:p>
      <w:pPr>
        <w:pStyle w:val="815"/>
        <w:ind w:firstLine="480"/>
        <w:spacing w:line="460" w:lineRule="exact"/>
        <w:rPr>
          <w:rFonts w:hint="eastAsia" w:hAnsi="宋体" w:cs="宋体"/>
          <w:sz w:val="21"/>
          <w:szCs w:val="21"/>
          <w:u w:val="single"/>
        </w:rPr>
      </w:pPr>
      <w:r>
        <w:rPr>
          <w:rFonts w:hint="eastAsia" w:hAnsi="宋体" w:cs="宋体"/>
          <w:sz w:val="21"/>
          <w:szCs w:val="21"/>
        </w:rPr>
        <w:t xml:space="preserve">致：</w:t>
      </w:r>
      <w:r>
        <w:rPr>
          <w:rFonts w:hint="eastAsia" w:hAnsi="宋体" w:cs="宋体"/>
          <w:sz w:val="21"/>
          <w:szCs w:val="21"/>
          <w:u w:val="single"/>
        </w:rPr>
        <w:t xml:space="preserve">（采购人名称）</w:t>
      </w:r>
      <w:r/>
    </w:p>
    <w:p>
      <w:pPr>
        <w:pStyle w:val="815"/>
        <w:ind w:firstLine="480"/>
        <w:spacing w:line="460" w:lineRule="exact"/>
        <w:rPr>
          <w:rFonts w:hint="eastAsia" w:hAnsi="宋体" w:cs="宋体"/>
          <w:sz w:val="21"/>
          <w:szCs w:val="21"/>
        </w:rPr>
      </w:pPr>
      <w:r>
        <w:rPr>
          <w:rFonts w:hint="eastAsia" w:hAnsi="宋体" w:cs="宋体"/>
          <w:sz w:val="21"/>
          <w:szCs w:val="21"/>
        </w:rPr>
      </w:r>
      <w:r/>
    </w:p>
    <w:p>
      <w:pPr>
        <w:pStyle w:val="815"/>
        <w:ind w:firstLine="480"/>
        <w:spacing w:line="460" w:lineRule="exact"/>
        <w:rPr>
          <w:rFonts w:hint="eastAsia"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815"/>
        <w:ind w:firstLine="480"/>
        <w:spacing w:line="460" w:lineRule="exact"/>
        <w:rPr>
          <w:rFonts w:hint="eastAsia" w:hAnsi="宋体" w:cs="宋体"/>
          <w:sz w:val="21"/>
          <w:szCs w:val="21"/>
        </w:rPr>
      </w:pPr>
      <w:r>
        <w:rPr>
          <w:rFonts w:hint="eastAsia" w:hAnsi="宋体" w:cs="宋体"/>
          <w:sz w:val="21"/>
          <w:szCs w:val="21"/>
        </w:rPr>
        <w:t xml:space="preserve">一、我单位是按照中华人民共和国法律规定登记注册的，注册地点为</w:t>
      </w:r>
      <w:r>
        <w:rPr>
          <w:rFonts w:hint="eastAsia" w:hAnsi="宋体" w:cs="宋体"/>
          <w:sz w:val="21"/>
          <w:szCs w:val="21"/>
          <w:u w:val="single"/>
        </w:rPr>
        <w:t xml:space="preserve">         </w:t>
      </w:r>
      <w:r>
        <w:rPr>
          <w:rFonts w:hint="eastAsia" w:hAnsi="宋体" w:cs="宋体"/>
          <w:sz w:val="21"/>
          <w:szCs w:val="21"/>
        </w:rPr>
        <w:t xml:space="preserve">，全称为</w:t>
      </w:r>
      <w:r>
        <w:rPr>
          <w:rFonts w:hint="eastAsia" w:hAnsi="宋体" w:cs="宋体"/>
          <w:sz w:val="21"/>
          <w:szCs w:val="21"/>
          <w:u w:val="single"/>
        </w:rPr>
        <w:t xml:space="preserve">        </w:t>
      </w:r>
      <w:r>
        <w:rPr>
          <w:rFonts w:hint="eastAsia" w:hAnsi="宋体" w:cs="宋体"/>
          <w:sz w:val="21"/>
          <w:szCs w:val="21"/>
        </w:rPr>
        <w:t xml:space="preserve">，统一社会信用代码为</w:t>
      </w:r>
      <w:r>
        <w:rPr>
          <w:rFonts w:hint="eastAsia" w:hAnsi="宋体" w:cs="宋体"/>
          <w:sz w:val="21"/>
          <w:szCs w:val="21"/>
          <w:u w:val="single"/>
        </w:rPr>
        <w:t xml:space="preserve">           </w:t>
      </w:r>
      <w:r>
        <w:rPr>
          <w:rFonts w:hint="eastAsia" w:hAnsi="宋体" w:cs="宋体"/>
          <w:sz w:val="21"/>
          <w:szCs w:val="21"/>
        </w:rPr>
        <w:t xml:space="preserve"> ，法定代表人（单位负责人）为</w:t>
      </w:r>
      <w:r>
        <w:rPr>
          <w:rFonts w:hint="eastAsia" w:hAnsi="宋体" w:cs="宋体"/>
          <w:sz w:val="21"/>
          <w:szCs w:val="21"/>
          <w:u w:val="single"/>
        </w:rPr>
        <w:t xml:space="preserve">         </w:t>
      </w:r>
      <w:r>
        <w:rPr>
          <w:rFonts w:hint="eastAsia" w:hAnsi="宋体" w:cs="宋体"/>
          <w:sz w:val="21"/>
          <w:szCs w:val="21"/>
        </w:rPr>
        <w:t xml:space="preserve">，具有独立承担民事责任的能力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815"/>
        <w:ind w:firstLine="480"/>
        <w:spacing w:line="460" w:lineRule="exact"/>
        <w:rPr>
          <w:rFonts w:hint="eastAsia"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815"/>
        <w:ind w:firstLine="480"/>
        <w:spacing w:line="460" w:lineRule="exact"/>
        <w:rPr>
          <w:rFonts w:hint="eastAsia"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815"/>
        <w:ind w:firstLine="480"/>
        <w:spacing w:line="460" w:lineRule="exact"/>
        <w:rPr>
          <w:rFonts w:hint="eastAsia" w:hAnsi="宋体" w:cs="宋体"/>
          <w:sz w:val="21"/>
          <w:szCs w:val="21"/>
        </w:rPr>
      </w:pPr>
      <w:r>
        <w:rPr>
          <w:rFonts w:hint="eastAsia" w:hAnsi="宋体" w:cs="宋体"/>
          <w:sz w:val="21"/>
          <w:szCs w:val="21"/>
        </w:rPr>
        <w:t xml:space="preserve">四、我单位依法进行纳税和社会保险申报并实际履行了义务。</w:t>
      </w:r>
      <w:r/>
    </w:p>
    <w:p>
      <w:pPr>
        <w:pStyle w:val="815"/>
        <w:ind w:firstLine="480"/>
        <w:spacing w:line="460" w:lineRule="exact"/>
        <w:rPr>
          <w:rFonts w:hint="eastAsia"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815"/>
        <w:ind w:firstLine="480"/>
        <w:spacing w:line="460" w:lineRule="exact"/>
        <w:rPr>
          <w:rFonts w:hint="eastAsia" w:hAnsi="宋体" w:cs="宋体"/>
          <w:sz w:val="21"/>
          <w:szCs w:val="21"/>
        </w:rPr>
      </w:pPr>
      <w:r>
        <w:rPr>
          <w:rFonts w:hint="eastAsia" w:hAnsi="宋体" w:cs="宋体"/>
          <w:sz w:val="21"/>
          <w:szCs w:val="21"/>
        </w:rPr>
        <w:t xml:space="preserve">主要设备有：</w:t>
      </w:r>
      <w:r>
        <w:rPr>
          <w:rFonts w:hint="eastAsia" w:hAnsi="宋体" w:cs="宋体"/>
          <w:sz w:val="21"/>
          <w:szCs w:val="21"/>
          <w:u w:val="single"/>
        </w:rPr>
        <w:t xml:space="preserve">            </w:t>
      </w:r>
      <w:r/>
    </w:p>
    <w:p>
      <w:pPr>
        <w:pStyle w:val="815"/>
        <w:ind w:firstLine="480"/>
        <w:spacing w:line="460" w:lineRule="exact"/>
        <w:rPr>
          <w:rFonts w:hint="eastAsia" w:hAnsi="宋体" w:cs="宋体"/>
          <w:sz w:val="21"/>
          <w:szCs w:val="21"/>
        </w:rPr>
      </w:pPr>
      <w:r>
        <w:rPr>
          <w:rFonts w:hint="eastAsia" w:hAnsi="宋体" w:cs="宋体"/>
          <w:sz w:val="21"/>
          <w:szCs w:val="21"/>
        </w:rPr>
        <w:t xml:space="preserve">主要专业技术能力有</w:t>
      </w:r>
      <w:r>
        <w:rPr>
          <w:rFonts w:hint="eastAsia" w:hAnsi="宋体" w:cs="宋体"/>
          <w:sz w:val="21"/>
          <w:szCs w:val="21"/>
          <w:u w:val="single"/>
        </w:rPr>
        <w:t xml:space="preserve">                 </w:t>
      </w:r>
      <w:r/>
    </w:p>
    <w:p>
      <w:pPr>
        <w:pStyle w:val="815"/>
        <w:ind w:firstLine="480"/>
        <w:spacing w:line="460" w:lineRule="exact"/>
        <w:rPr>
          <w:rFonts w:hint="eastAsia"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5"/>
        <w:ind w:firstLine="480"/>
        <w:spacing w:line="460" w:lineRule="exact"/>
        <w:rPr>
          <w:rFonts w:hint="eastAsia" w:hAnsi="宋体" w:cs="宋体"/>
          <w:sz w:val="21"/>
          <w:szCs w:val="21"/>
        </w:rPr>
      </w:pPr>
      <w:r>
        <w:rPr>
          <w:rFonts w:hint="eastAsia" w:hAnsi="宋体" w:cs="宋体"/>
          <w:sz w:val="21"/>
          <w:szCs w:val="21"/>
        </w:rPr>
        <w:t xml:space="preserve">七、我单位具备法律、行政法规规定的其他条件。</w:t>
      </w:r>
      <w:r/>
    </w:p>
    <w:p>
      <w:pPr>
        <w:pStyle w:val="815"/>
        <w:ind w:firstLine="480"/>
        <w:spacing w:line="460" w:lineRule="exact"/>
        <w:rPr>
          <w:rFonts w:hint="eastAsia" w:hAnsi="宋体" w:cs="宋体"/>
          <w:sz w:val="21"/>
          <w:szCs w:val="21"/>
        </w:rPr>
      </w:pPr>
      <w:r>
        <w:rPr>
          <w:rFonts w:hint="eastAsia" w:hAnsi="宋体" w:cs="宋体"/>
          <w:sz w:val="21"/>
          <w:szCs w:val="21"/>
        </w:rPr>
        <w:t xml:space="preserve">八、与我单位存在“单位负责人为同一人或者存在直接控股、管理关系”的其他单位信息如下（如无此情形的，填写“无”）：</w:t>
      </w:r>
      <w:r/>
    </w:p>
    <w:p>
      <w:pPr>
        <w:pStyle w:val="815"/>
        <w:ind w:firstLine="480"/>
        <w:spacing w:line="460" w:lineRule="exact"/>
        <w:rPr>
          <w:rFonts w:hint="eastAsia" w:hAnsi="宋体" w:cs="宋体"/>
          <w:sz w:val="21"/>
          <w:szCs w:val="21"/>
        </w:rPr>
      </w:pPr>
      <w:r>
        <w:rPr>
          <w:rFonts w:hint="eastAsia" w:hAnsi="宋体" w:cs="宋体"/>
          <w:sz w:val="21"/>
          <w:szCs w:val="21"/>
        </w:rPr>
        <w:t xml:space="preserve">1、与我单位的法定代表人（单位负责人）为同一人的其他单位如下：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15"/>
        <w:ind w:firstLine="480"/>
        <w:spacing w:line="460" w:lineRule="exact"/>
        <w:rPr>
          <w:rFonts w:hint="eastAsia" w:hAnsi="宋体" w:cs="宋体"/>
          <w:sz w:val="21"/>
          <w:szCs w:val="21"/>
        </w:rPr>
      </w:pPr>
      <w:r>
        <w:rPr>
          <w:rFonts w:hint="eastAsia" w:hAnsi="宋体" w:cs="宋体"/>
          <w:sz w:val="21"/>
          <w:szCs w:val="21"/>
        </w:rPr>
        <w:t xml:space="preserve">2、我单位直接控股的其他单位如下：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15"/>
        <w:ind w:firstLine="480"/>
        <w:spacing w:line="460" w:lineRule="exact"/>
        <w:rPr>
          <w:rFonts w:hint="eastAsia" w:hAnsi="宋体" w:cs="宋体"/>
          <w:sz w:val="21"/>
          <w:szCs w:val="21"/>
        </w:rPr>
      </w:pPr>
      <w:r>
        <w:rPr>
          <w:rFonts w:hint="eastAsia" w:hAnsi="宋体" w:cs="宋体"/>
          <w:sz w:val="21"/>
          <w:szCs w:val="21"/>
        </w:rPr>
        <w:t xml:space="preserve">3、与我单位存在管理关系的其他单位如下：</w:t>
      </w:r>
      <w:r>
        <w:rPr>
          <w:rFonts w:hint="eastAsia" w:hAnsi="宋体" w:cs="宋体"/>
          <w:sz w:val="21"/>
          <w:szCs w:val="21"/>
          <w:u w:val="single"/>
        </w:rPr>
        <w:t xml:space="preserve">              </w:t>
      </w:r>
      <w:r>
        <w:rPr>
          <w:rFonts w:hint="eastAsia" w:hAnsi="宋体" w:cs="宋体"/>
          <w:sz w:val="21"/>
          <w:szCs w:val="21"/>
        </w:rPr>
        <w:t xml:space="preserve"> </w:t>
      </w:r>
      <w:r/>
    </w:p>
    <w:p>
      <w:pPr>
        <w:pStyle w:val="815"/>
        <w:ind w:firstLine="480"/>
        <w:spacing w:line="460" w:lineRule="exact"/>
        <w:rPr>
          <w:rFonts w:hint="eastAsia"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815"/>
        <w:ind w:firstLine="480"/>
        <w:spacing w:line="460" w:lineRule="exact"/>
        <w:rPr>
          <w:rFonts w:hint="eastAsia" w:hAnsi="宋体" w:cs="宋体"/>
          <w:sz w:val="21"/>
          <w:szCs w:val="21"/>
        </w:rPr>
      </w:pPr>
      <w:r>
        <w:rPr>
          <w:rFonts w:hint="eastAsia" w:hAnsi="宋体" w:cs="宋体"/>
          <w:sz w:val="21"/>
          <w:szCs w:val="21"/>
        </w:rPr>
        <w:t xml:space="preserve">十、我单位无以下不良信用记录情形：</w:t>
      </w:r>
      <w:r/>
    </w:p>
    <w:p>
      <w:pPr>
        <w:pStyle w:val="815"/>
        <w:ind w:firstLine="480"/>
        <w:spacing w:line="460" w:lineRule="exact"/>
        <w:rPr>
          <w:rFonts w:hint="eastAsia"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815"/>
        <w:ind w:firstLine="480"/>
        <w:spacing w:line="460" w:lineRule="exact"/>
        <w:rPr>
          <w:rFonts w:hint="eastAsia" w:hAnsi="宋体" w:cs="宋体"/>
          <w:sz w:val="21"/>
          <w:szCs w:val="21"/>
        </w:rPr>
      </w:pPr>
      <w:r>
        <w:rPr>
          <w:rFonts w:hint="eastAsia" w:hAnsi="宋体" w:cs="宋体"/>
          <w:sz w:val="21"/>
          <w:szCs w:val="21"/>
        </w:rPr>
        <w:t xml:space="preserve">2、在“中国政府采购网”网站被列入政府采购严重违法失信行为记录名单；</w:t>
      </w:r>
      <w:r/>
    </w:p>
    <w:p>
      <w:pPr>
        <w:pStyle w:val="815"/>
        <w:ind w:firstLine="480"/>
        <w:spacing w:line="460" w:lineRule="exact"/>
        <w:rPr>
          <w:rFonts w:hint="eastAsia" w:hAnsi="宋体" w:cs="宋体"/>
          <w:sz w:val="21"/>
          <w:szCs w:val="21"/>
        </w:rPr>
      </w:pPr>
      <w:r>
        <w:rPr>
          <w:rFonts w:hint="eastAsia" w:hAnsi="宋体" w:cs="宋体"/>
          <w:sz w:val="21"/>
          <w:szCs w:val="21"/>
        </w:rPr>
        <w:t xml:space="preserve">3、不符合《政府采购法》第二十二条规定的条件。</w:t>
      </w:r>
      <w:r/>
    </w:p>
    <w:p>
      <w:pPr>
        <w:pStyle w:val="815"/>
        <w:ind w:firstLine="480"/>
        <w:spacing w:line="460" w:lineRule="exact"/>
        <w:rPr>
          <w:rFonts w:hint="eastAsia" w:hAnsi="宋体" w:cs="宋体"/>
          <w:sz w:val="21"/>
          <w:szCs w:val="21"/>
        </w:rPr>
      </w:pPr>
      <w:r>
        <w:rPr>
          <w:rFonts w:hint="eastAsia" w:hAnsi="宋体" w:cs="宋体"/>
          <w:sz w:val="21"/>
          <w:szCs w:val="21"/>
        </w:rPr>
      </w:r>
      <w:r/>
    </w:p>
    <w:p>
      <w:pPr>
        <w:pStyle w:val="815"/>
        <w:ind w:firstLine="480"/>
        <w:spacing w:line="460" w:lineRule="exact"/>
        <w:rPr>
          <w:rFonts w:hint="eastAsia"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815"/>
        <w:ind w:firstLine="480"/>
        <w:spacing w:line="460" w:lineRule="exact"/>
        <w:rPr>
          <w:rFonts w:hint="eastAsia" w:hAnsi="宋体" w:cs="宋体"/>
          <w:sz w:val="21"/>
          <w:szCs w:val="21"/>
        </w:rPr>
      </w:pPr>
      <w:r>
        <w:rPr>
          <w:rFonts w:hint="eastAsia" w:hAnsi="宋体" w:cs="宋体"/>
          <w:sz w:val="21"/>
          <w:szCs w:val="21"/>
        </w:rPr>
      </w:r>
      <w:r/>
    </w:p>
    <w:p>
      <w:pPr>
        <w:pStyle w:val="815"/>
        <w:ind w:firstLine="480"/>
        <w:spacing w:line="460" w:lineRule="exact"/>
        <w:rPr>
          <w:rFonts w:hint="eastAsia" w:hAnsi="宋体" w:cs="宋体"/>
          <w:sz w:val="21"/>
          <w:szCs w:val="21"/>
        </w:rPr>
      </w:pPr>
      <w:r>
        <w:rPr>
          <w:rFonts w:hint="eastAsia" w:hAnsi="宋体" w:cs="宋体"/>
          <w:sz w:val="21"/>
          <w:szCs w:val="21"/>
        </w:rPr>
      </w:r>
      <w:r/>
    </w:p>
    <w:p>
      <w:pPr>
        <w:pStyle w:val="815"/>
        <w:ind w:firstLine="480"/>
        <w:spacing w:line="460" w:lineRule="exact"/>
        <w:rPr>
          <w:rFonts w:hint="eastAsia" w:hAnsi="宋体" w:cs="宋体"/>
          <w:sz w:val="21"/>
          <w:szCs w:val="21"/>
        </w:rPr>
      </w:pPr>
      <w:r>
        <w:rPr>
          <w:rFonts w:hint="eastAsia" w:hAnsi="宋体" w:cs="宋体"/>
          <w:sz w:val="21"/>
          <w:szCs w:val="21"/>
        </w:rPr>
        <w:t xml:space="preserve">                                            供应商：（加盖公章）</w:t>
      </w:r>
      <w:r/>
    </w:p>
    <w:p>
      <w:pPr>
        <w:pStyle w:val="815"/>
        <w:ind w:firstLine="480"/>
        <w:spacing w:line="460" w:lineRule="exact"/>
        <w:rPr>
          <w:rFonts w:hint="eastAsia" w:hAnsi="宋体" w:cs="宋体"/>
          <w:sz w:val="21"/>
          <w:szCs w:val="21"/>
        </w:rPr>
      </w:pPr>
      <w:r>
        <w:rPr>
          <w:rFonts w:hint="eastAsia" w:hAnsi="宋体" w:cs="宋体"/>
          <w:sz w:val="21"/>
          <w:szCs w:val="21"/>
        </w:rPr>
        <w:t xml:space="preserve">                法定代表人（或单位负责人）签字或盖章：</w:t>
      </w:r>
      <w:r/>
    </w:p>
    <w:p>
      <w:pPr>
        <w:pStyle w:val="815"/>
        <w:ind w:firstLine="4305"/>
        <w:spacing w:line="460" w:lineRule="exact"/>
        <w:rPr>
          <w:rFonts w:hint="eastAsia" w:hAnsi="宋体" w:cs="宋体"/>
          <w:sz w:val="21"/>
          <w:szCs w:val="21"/>
        </w:rPr>
      </w:pPr>
      <w:r>
        <w:rPr>
          <w:rFonts w:hint="eastAsia" w:hAnsi="宋体" w:cs="宋体"/>
          <w:sz w:val="21"/>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说明：供应商承诺不实的，依据《政府采购法》第七十七条“提供虚假材料谋取成交、成交的”有关规定予以处理。</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color w:val="000000"/>
          <w:sz w:val="24"/>
          <w:szCs w:val="20"/>
        </w:rPr>
      </w:pPr>
      <w:r>
        <w:rPr>
          <w:color w:val="000000"/>
          <w:sz w:val="24"/>
          <w:szCs w:val="20"/>
        </w:rPr>
        <w:br w:type="page" w:clear="all"/>
      </w:r>
      <w:bookmarkStart w:id="670" w:name="_Toc150480795"/>
      <w:r/>
      <w:bookmarkStart w:id="671" w:name="_Toc226965830"/>
      <w:r/>
      <w:bookmarkStart w:id="672" w:name="_Toc226965747"/>
      <w:r/>
      <w:bookmarkStart w:id="673" w:name="_Toc127151557"/>
      <w:r/>
      <w:bookmarkStart w:id="674" w:name="_Toc264969247"/>
      <w:r/>
      <w:bookmarkStart w:id="675" w:name="_Toc195842922"/>
      <w:r/>
      <w:bookmarkStart w:id="676" w:name="_Toc305158825"/>
      <w:r/>
      <w:bookmarkStart w:id="677" w:name="_Toc226337253"/>
      <w:r/>
      <w:bookmarkStart w:id="678" w:name="_Toc520356218"/>
      <w:r/>
      <w:bookmarkStart w:id="679" w:name="_Toc480942350"/>
      <w:r/>
      <w:bookmarkStart w:id="680" w:name="_Toc226309801"/>
      <w:r/>
      <w:bookmarkStart w:id="681" w:name="_Toc142311059"/>
      <w:r/>
      <w:bookmarkStart w:id="682" w:name="_Ref467988705"/>
      <w:r/>
      <w:bookmarkStart w:id="683" w:name="_Toc265228395"/>
      <w:r/>
      <w:bookmarkStart w:id="684" w:name="_Toc305158899"/>
      <w:r/>
      <w:bookmarkStart w:id="685" w:name="_Toc150774762"/>
      <w:r/>
      <w:r/>
    </w:p>
    <w:p>
      <w:pPr>
        <w:spacing w:line="360" w:lineRule="auto"/>
        <w:rPr>
          <w:rFonts w:hint="eastAsia" w:ascii="宋体" w:hAnsi="宋体" w:cs="宋体"/>
          <w:b/>
          <w:bCs/>
          <w:szCs w:val="21"/>
        </w:rPr>
      </w:pPr>
      <w:r>
        <w:rPr>
          <w:rFonts w:hint="eastAsia" w:ascii="宋体" w:hAnsi="宋体" w:cs="宋体"/>
          <w:b/>
          <w:bCs/>
          <w:szCs w:val="21"/>
        </w:rPr>
        <w:t xml:space="preserve">2、落实政府采购政策需满足的资格要求</w:t>
      </w:r>
      <w:r/>
    </w:p>
    <w:p>
      <w:pPr>
        <w:spacing w:line="360" w:lineRule="auto"/>
        <w:rPr>
          <w:rFonts w:hint="eastAsia" w:ascii="宋体" w:hAnsi="宋体" w:cs="宋体"/>
          <w:b/>
          <w:bCs/>
          <w:szCs w:val="21"/>
        </w:rPr>
      </w:pPr>
      <w:r>
        <w:rPr>
          <w:rFonts w:hint="eastAsia" w:ascii="宋体" w:hAnsi="宋体" w:cs="宋体"/>
          <w:b/>
          <w:bCs/>
          <w:szCs w:val="21"/>
        </w:rPr>
        <w:t xml:space="preserve">2-1 中小企业声明函</w:t>
      </w:r>
      <w:r/>
    </w:p>
    <w:p>
      <w:pPr>
        <w:spacing w:line="360" w:lineRule="auto"/>
        <w:rPr>
          <w:rFonts w:hint="eastAsia" w:ascii="宋体" w:hAnsi="宋体" w:cs="宋体"/>
          <w:szCs w:val="21"/>
        </w:rPr>
      </w:pPr>
      <w:r>
        <w:rPr>
          <w:rFonts w:hint="eastAsia" w:ascii="宋体" w:hAnsi="宋体" w:cs="宋体"/>
          <w:szCs w:val="21"/>
        </w:rPr>
        <w:t xml:space="preserve">说明：</w:t>
      </w:r>
      <w:r/>
    </w:p>
    <w:p>
      <w:pPr>
        <w:spacing w:line="360" w:lineRule="auto"/>
        <w:rPr>
          <w:rFonts w:hint="eastAsia" w:ascii="宋体" w:hAnsi="宋体" w:cs="宋体"/>
          <w:szCs w:val="21"/>
        </w:rPr>
      </w:pPr>
      <w:r>
        <w:rPr>
          <w:rFonts w:hint="eastAsia" w:ascii="宋体" w:hAnsi="宋体" w:cs="宋体"/>
          <w:szCs w:val="21"/>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rPr>
          <w:rFonts w:hint="eastAsia" w:ascii="宋体" w:hAnsi="宋体" w:cs="宋体"/>
          <w:szCs w:val="21"/>
        </w:rPr>
      </w:pPr>
      <w:r>
        <w:rPr>
          <w:rFonts w:hint="eastAsia" w:ascii="宋体" w:hAnsi="宋体" w:cs="宋体"/>
          <w:szCs w:val="21"/>
        </w:rPr>
        <w:t xml:space="preserve">（2）如本项目（包）专门面向中小/小微企业采购，须提供《中小企业声明函》（实质性格式）。</w:t>
      </w:r>
      <w:r/>
    </w:p>
    <w:p>
      <w:pPr>
        <w:spacing w:line="360" w:lineRule="auto"/>
        <w:rPr>
          <w:rFonts w:hint="eastAsia" w:ascii="宋体" w:hAnsi="宋体" w:cs="宋体"/>
          <w:szCs w:val="21"/>
        </w:rPr>
      </w:pPr>
      <w:r>
        <w:rPr>
          <w:rFonts w:hint="eastAsia" w:ascii="宋体" w:hAnsi="宋体" w:cs="宋体"/>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hint="eastAsia" w:ascii="宋体" w:hAnsi="宋体" w:cs="宋体"/>
          <w:szCs w:val="21"/>
        </w:rPr>
      </w:pPr>
      <w:r>
        <w:rPr>
          <w:rFonts w:hint="eastAsia" w:ascii="宋体" w:hAnsi="宋体" w:cs="宋体"/>
          <w:szCs w:val="21"/>
        </w:rPr>
        <w:t xml:space="preserve">（4）其它</w:t>
      </w:r>
      <w:r/>
    </w:p>
    <w:p>
      <w:pPr>
        <w:spacing w:line="360" w:lineRule="auto"/>
        <w:rPr>
          <w:rFonts w:hint="eastAsia" w:ascii="宋体" w:hAnsi="宋体" w:cs="宋体"/>
          <w:szCs w:val="21"/>
        </w:rPr>
      </w:pPr>
      <w:r>
        <w:rPr>
          <w:rFonts w:hint="eastAsia" w:ascii="宋体" w:hAnsi="宋体" w:cs="宋体"/>
          <w:szCs w:val="21"/>
        </w:rPr>
        <w:t xml:space="preserve">1）中小企业参加政府采购活动，应当出具此格式文件。《中小企业声明函》由参加政府采购活动的供应商出具。联合体响应的，《中小企业声明函》由牵头人出具。</w:t>
      </w:r>
      <w:r/>
    </w:p>
    <w:p>
      <w:pPr>
        <w:spacing w:line="360" w:lineRule="auto"/>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hint="eastAsia" w:ascii="宋体" w:hAnsi="宋体" w:cs="宋体"/>
          <w:szCs w:val="21"/>
        </w:rPr>
      </w:pPr>
      <w:r>
        <w:rPr>
          <w:rFonts w:hint="eastAsia" w:ascii="宋体" w:hAnsi="宋体" w:cs="宋体"/>
          <w:szCs w:val="21"/>
        </w:rPr>
        <w:t xml:space="preserve">3）对于多标的的采购项目，供应商应充分、准确地了解所投产品制造企业信息。对相关情况了解不清楚的，不建议填报本声明函。</w:t>
      </w:r>
      <w:r/>
    </w:p>
    <w:p>
      <w:pPr>
        <w:spacing w:line="360" w:lineRule="auto"/>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Cs w:val="21"/>
        </w:rPr>
      </w:pPr>
      <w:r>
        <w:rPr>
          <w:szCs w:val="21"/>
        </w:rPr>
      </w:r>
      <w:r/>
    </w:p>
    <w:p>
      <w:pPr>
        <w:jc w:val="center"/>
        <w:spacing w:line="360" w:lineRule="auto"/>
        <w:widowControl/>
        <w:rPr>
          <w:color w:val="000000"/>
          <w:sz w:val="24"/>
        </w:rPr>
      </w:pPr>
      <w:r>
        <w:rPr>
          <w:color w:val="000000"/>
          <w:sz w:val="24"/>
        </w:rPr>
        <w:br w:type="page" w:clear="all"/>
      </w:r>
      <w:r/>
    </w:p>
    <w:p>
      <w:pPr>
        <w:jc w:val="center"/>
        <w:spacing w:before="240" w:after="240" w:line="360" w:lineRule="auto"/>
        <w:rPr>
          <w:rFonts w:hint="eastAsia" w:ascii="宋体" w:hAnsi="宋体" w:cs="宋体"/>
          <w:b/>
          <w:bCs/>
          <w:color w:val="000000"/>
          <w:szCs w:val="21"/>
        </w:rPr>
      </w:pPr>
      <w:r>
        <w:rPr>
          <w:rFonts w:hint="eastAsia" w:ascii="宋体" w:hAnsi="宋体" w:cs="宋体"/>
          <w:b/>
          <w:color w:val="000000"/>
          <w:szCs w:val="21"/>
        </w:rPr>
        <w:t xml:space="preserve">中小企业声明函（工程、服务）格式</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p>
    <w:p>
      <w:pPr>
        <w:ind w:firstLine="504"/>
        <w:spacing w:line="360" w:lineRule="auto"/>
        <w:rPr>
          <w:rFonts w:hint="eastAsia" w:ascii="宋体" w:hAnsi="宋体" w:cs="宋体"/>
          <w:spacing w:val="6"/>
          <w:szCs w:val="21"/>
        </w:rPr>
      </w:pPr>
      <w:r>
        <w:rPr>
          <w:rFonts w:hint="eastAsia" w:ascii="宋体" w:hAnsi="宋体" w:cs="宋体"/>
          <w:spacing w:val="6"/>
          <w:szCs w:val="21"/>
        </w:rPr>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企业名称（加盖公章）：________</w:t>
      </w:r>
      <w:r/>
    </w:p>
    <w:p>
      <w:pPr>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p>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r>
      <w:r/>
    </w:p>
    <w:tbl>
      <w:tblPr>
        <w:tblStyle w:val="8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tc>
      </w:tr>
    </w:tbl>
    <w:p>
      <w:pPr>
        <w:spacing w:before="240" w:after="240" w:line="360" w:lineRule="auto"/>
        <w:rPr>
          <w:rFonts w:hint="eastAsia" w:ascii="宋体" w:hAnsi="宋体" w:cs="宋体"/>
          <w:color w:val="000000"/>
          <w:szCs w:val="21"/>
        </w:rPr>
      </w:pPr>
      <w:r>
        <w:rPr>
          <w:rFonts w:hint="eastAsia" w:ascii="宋体" w:hAnsi="宋体" w:cs="宋体"/>
          <w:color w:val="000000"/>
          <w:szCs w:val="21"/>
        </w:rPr>
      </w:r>
      <w:r/>
    </w:p>
    <w:p>
      <w:pPr>
        <w:jc w:val="center"/>
        <w:spacing w:before="240" w:after="240" w:line="360" w:lineRule="auto"/>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b/>
          <w:color w:val="000000"/>
          <w:szCs w:val="21"/>
        </w:rPr>
        <w:t xml:space="preserve">残疾人福利性单位声明函格式 </w:t>
      </w:r>
      <w:r/>
    </w:p>
    <w:p>
      <w:pPr>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p>
    <w:p>
      <w:pPr>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p>
    <w:p>
      <w:pPr>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firstLine="444"/>
        <w:spacing w:line="588" w:lineRule="exact"/>
        <w:rPr>
          <w:rFonts w:hint="eastAsia" w:ascii="宋体" w:hAnsi="宋体" w:cs="宋体"/>
          <w:spacing w:val="6"/>
          <w:szCs w:val="21"/>
        </w:rPr>
      </w:pPr>
      <w:r>
        <w:rPr>
          <w:rFonts w:hint="eastAsia" w:ascii="宋体" w:hAnsi="宋体" w:cs="宋体"/>
          <w:spacing w:val="6"/>
          <w:szCs w:val="21"/>
        </w:rPr>
      </w:r>
      <w:r/>
    </w:p>
    <w:p>
      <w:pPr>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p>
    <w:p>
      <w:pPr>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b/>
          <w:bCs/>
          <w:szCs w:val="21"/>
        </w:rPr>
      </w:pPr>
      <w:r>
        <w:rPr>
          <w:rFonts w:hint="eastAsia" w:ascii="宋体" w:hAnsi="宋体" w:cs="宋体"/>
          <w:b/>
          <w:bCs/>
          <w:szCs w:val="21"/>
        </w:rPr>
        <w:br w:type="page" w:clear="all"/>
      </w:r>
      <w:r/>
    </w:p>
    <w:p>
      <w:pPr>
        <w:spacing w:line="360" w:lineRule="auto"/>
        <w:rPr>
          <w:rFonts w:hint="eastAsia" w:ascii="宋体" w:hAnsi="宋体" w:cs="宋体"/>
          <w:color w:val="000000"/>
          <w:szCs w:val="21"/>
        </w:rPr>
      </w:pPr>
      <w:r>
        <w:rPr>
          <w:rFonts w:hint="eastAsia" w:ascii="宋体" w:hAnsi="宋体" w:cs="宋体"/>
          <w:b/>
          <w:bCs/>
          <w:szCs w:val="21"/>
        </w:rPr>
        <w:t xml:space="preserve">3、响应函（实质性格式）</w:t>
      </w:r>
      <w:r/>
    </w:p>
    <w:p>
      <w:pPr>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响应函</w:t>
      </w:r>
      <w:r/>
    </w:p>
    <w:p>
      <w:pPr>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（采购人或采购代理机构）</w:t>
      </w:r>
      <w:r/>
    </w:p>
    <w:p>
      <w:pPr>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（1）本响应有效期为自提交响应文件的截止之日起</w:t>
      </w:r>
      <w:r>
        <w:rPr>
          <w:rFonts w:hint="eastAsia" w:ascii="宋体" w:hAnsi="宋体" w:cs="宋体"/>
          <w:szCs w:val="21"/>
        </w:rPr>
        <w:t xml:space="preserve">60</w:t>
      </w:r>
      <w:r>
        <w:rPr>
          <w:rFonts w:hint="eastAsia" w:ascii="宋体" w:hAnsi="宋体" w:cs="宋体"/>
          <w:color w:val="000000"/>
          <w:szCs w:val="21"/>
        </w:rPr>
        <w:t xml:space="preserve">个日历日。</w:t>
      </w:r>
      <w:r/>
    </w:p>
    <w:p>
      <w:pPr>
        <w:ind w:left="360" w:firstLine="63"/>
        <w:spacing w:line="360" w:lineRule="auto"/>
        <w:tabs>
          <w:tab w:val="left" w:pos="720" w:leader="none"/>
          <w:tab w:val="left" w:pos="900" w:leader="none"/>
        </w:tabs>
        <w:rPr>
          <w:rFonts w:hint="eastAsia" w:ascii="宋体" w:hAnsi="宋体" w:cs="宋体"/>
          <w:color w:val="000000"/>
          <w:szCs w:val="21"/>
        </w:rPr>
      </w:pPr>
      <w:r>
        <w:rPr>
          <w:rFonts w:hint="eastAsia" w:ascii="宋体" w:hAnsi="宋体" w:cs="宋体"/>
          <w:color w:val="000000"/>
          <w:szCs w:val="21"/>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（4）如我方成交，我方将在法律规定的期限内与你方签订合同，按照磋商文件要求提交履约保证金，并在合同约定的期限内完成合同规定的全部义务。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000000"/>
          <w:szCs w:val="21"/>
        </w:rPr>
      </w:pPr>
      <w:r>
        <w:rPr>
          <w:rFonts w:hint="eastAsia" w:ascii="宋体" w:hAnsi="宋体" w:cs="宋体"/>
          <w:color w:val="000000"/>
          <w:szCs w:val="21"/>
        </w:rPr>
        <w:t xml:space="preserve">2. 其他补充条款（如有）：___________。</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与本响应有关的一切正式往来信函请寄：</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地址_________________________     传真____________________________</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供应商名称（加盖公章） ___________</w:t>
      </w:r>
      <w:r/>
    </w:p>
    <w:p>
      <w:pPr>
        <w:ind w:left="420"/>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日期：_____年______月______日    </w:t>
      </w:r>
      <w:r/>
    </w:p>
    <w:p>
      <w:pPr>
        <w:ind w:left="420"/>
        <w:spacing w:line="360" w:lineRule="auto"/>
        <w:tabs>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jc w:val="left"/>
        <w:widowControl/>
        <w:rPr>
          <w:rFonts w:hint="eastAsia" w:ascii="宋体" w:hAnsi="宋体" w:cs="宋体"/>
          <w:b/>
          <w:bCs/>
          <w:szCs w:val="21"/>
        </w:rPr>
      </w:pPr>
      <w:r/>
      <w:bookmarkStart w:id="686" w:name="_Hlt520355938"/>
      <w:r/>
      <w:bookmarkEnd w:id="686"/>
      <w:r/>
      <w:bookmarkStart w:id="687" w:name="_Hlt520356243"/>
      <w:r/>
      <w:bookmarkEnd w:id="687"/>
      <w:r>
        <w:rPr>
          <w:rFonts w:hint="eastAsia" w:ascii="宋体" w:hAnsi="宋体" w:cs="宋体"/>
          <w:color w:val="000000"/>
          <w:szCs w:val="21"/>
        </w:rPr>
        <w:br w:type="page" w:clear="all"/>
      </w:r>
      <w:r>
        <w:rPr>
          <w:rFonts w:hint="eastAsia" w:ascii="宋体" w:hAnsi="宋体" w:cs="宋体"/>
          <w:b/>
          <w:bCs/>
          <w:szCs w:val="21"/>
        </w:rPr>
        <w:t xml:space="preserve">4、法定代表人资格证明书（实质性格式）</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法定代表人资格证明书</w:t>
      </w:r>
      <w:r/>
    </w:p>
    <w:p>
      <w:pPr>
        <w:spacing w:line="560" w:lineRule="exact"/>
        <w:rPr>
          <w:rFonts w:hint="eastAsia" w:ascii="宋体" w:hAnsi="宋体" w:cs="宋体"/>
          <w:szCs w:val="21"/>
        </w:rPr>
      </w:pPr>
      <w:r>
        <w:rPr>
          <w:rFonts w:hint="eastAsia" w:ascii="宋体" w:hAnsi="宋体" w:cs="宋体"/>
          <w:szCs w:val="21"/>
        </w:rPr>
        <w:t xml:space="preserve">单位名称：</w:t>
      </w:r>
      <w:r/>
    </w:p>
    <w:p>
      <w:pPr>
        <w:spacing w:line="560" w:lineRule="exact"/>
        <w:rPr>
          <w:rFonts w:hint="eastAsia" w:ascii="宋体" w:hAnsi="宋体" w:cs="宋体"/>
          <w:szCs w:val="21"/>
        </w:rPr>
      </w:pPr>
      <w:r>
        <w:rPr>
          <w:rFonts w:hint="eastAsia" w:ascii="宋体" w:hAnsi="宋体" w:cs="宋体"/>
          <w:szCs w:val="21"/>
        </w:rPr>
        <w:t xml:space="preserve">地址：</w:t>
      </w:r>
      <w:r/>
    </w:p>
    <w:p>
      <w:pPr>
        <w:spacing w:line="560" w:lineRule="exact"/>
        <w:rPr>
          <w:rFonts w:hint="eastAsia" w:ascii="宋体" w:hAnsi="宋体" w:cs="宋体"/>
          <w:szCs w:val="21"/>
        </w:rPr>
      </w:pPr>
      <w:r>
        <w:rPr>
          <w:rFonts w:hint="eastAsia" w:ascii="宋体" w:hAnsi="宋体" w:cs="宋体"/>
          <w:szCs w:val="21"/>
        </w:rPr>
        <w:t xml:space="preserve">姓名：     性别：       年龄：      职务：</w:t>
      </w:r>
      <w:r/>
    </w:p>
    <w:p>
      <w:pPr>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w:t>
      </w:r>
      <w:r>
        <w:rPr>
          <w:rFonts w:hint="eastAsia" w:ascii="宋体" w:hAnsi="宋体" w:cs="宋体"/>
          <w:color w:val="000000"/>
          <w:szCs w:val="21"/>
        </w:rPr>
        <w:t xml:space="preserve">签署、澄清确认、递交、撤回、修改</w:t>
      </w:r>
      <w:r>
        <w:rPr>
          <w:rFonts w:hint="eastAsia" w:ascii="宋体" w:hAnsi="宋体" w:cs="宋体"/>
          <w:szCs w:val="21"/>
        </w:rPr>
        <w:t xml:space="preserve">上述项目的响应文件、进行合同磋商、签署合同和处理与之有关的一切事务。</w:t>
      </w:r>
      <w:r/>
    </w:p>
    <w:p>
      <w:pPr>
        <w:spacing w:line="560" w:lineRule="exact"/>
        <w:rPr>
          <w:rFonts w:hint="eastAsia" w:ascii="宋体" w:hAnsi="宋体" w:cs="宋体"/>
          <w:szCs w:val="21"/>
        </w:rPr>
      </w:pPr>
      <w:r>
        <w:rPr>
          <w:rFonts w:hint="eastAsia" w:ascii="宋体" w:hAnsi="宋体" w:cs="宋体"/>
          <w:szCs w:val="21"/>
        </w:rPr>
        <w:t xml:space="preserve">特此证明。</w:t>
      </w:r>
      <w:r/>
    </w:p>
    <w:p>
      <w:pPr>
        <w:spacing w:line="560" w:lineRule="exact"/>
        <w:rPr>
          <w:rFonts w:hint="eastAsia" w:ascii="宋体" w:hAnsi="宋体" w:cs="宋体"/>
          <w:szCs w:val="21"/>
        </w:rPr>
      </w:pPr>
      <w:r>
        <w:rPr>
          <w:rFonts w:hint="eastAsia" w:ascii="宋体" w:hAnsi="宋体" w:cs="宋体"/>
          <w:szCs w:val="21"/>
        </w:rPr>
      </w:r>
      <w:r/>
    </w:p>
    <w:p>
      <w:pPr>
        <w:pStyle w:val="821"/>
        <w:ind w:right="-46"/>
        <w:spacing w:line="583" w:lineRule="auto"/>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）有效期内的身份证正反面电子件。</w:t>
      </w:r>
      <w:r/>
    </w:p>
    <w:tbl>
      <w:tblPr>
        <w:tblStyle w:val="813"/>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jc w:val="center"/>
          <w:trHeight w:val="1400"/>
        </w:trPr>
        <w:tc>
          <w:tcPr>
            <w:tcW w:w="4673" w:type="dxa"/>
            <w:textDirection w:val="lrTb"/>
            <w:noWrap w:val="false"/>
          </w:tcPr>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c>
          <w:tcPr>
            <w:tcW w:w="4536" w:type="dxa"/>
            <w:textDirection w:val="lrTb"/>
            <w:noWrap w:val="false"/>
          </w:tcPr>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r>
            <w:r/>
          </w:p>
        </w:tc>
      </w:tr>
    </w:tbl>
    <w:p>
      <w:pPr>
        <w:spacing w:line="560" w:lineRule="exact"/>
        <w:rPr>
          <w:rFonts w:hint="eastAsia" w:ascii="宋体" w:hAnsi="宋体" w:cs="宋体"/>
          <w:szCs w:val="21"/>
        </w:rPr>
      </w:pPr>
      <w:r>
        <w:rPr>
          <w:rFonts w:hint="eastAsia" w:ascii="宋体" w:hAnsi="宋体" w:cs="宋体"/>
          <w:szCs w:val="21"/>
        </w:rPr>
        <w:t xml:space="preserve">                     供应商：（加盖公章）</w:t>
      </w:r>
      <w:r/>
    </w:p>
    <w:p>
      <w:pPr>
        <w:spacing w:line="560" w:lineRule="exact"/>
        <w:rPr>
          <w:rFonts w:hint="eastAsia" w:ascii="宋体" w:hAnsi="宋体" w:cs="宋体"/>
          <w:szCs w:val="21"/>
        </w:rPr>
      </w:pPr>
      <w:r>
        <w:rPr>
          <w:rFonts w:hint="eastAsia" w:ascii="宋体" w:hAnsi="宋体" w:cs="宋体"/>
          <w:szCs w:val="21"/>
        </w:rPr>
        <w:t xml:space="preserve">                       法定代表人</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firstLine="3780"/>
        <w:spacing w:line="560" w:lineRule="exact"/>
        <w:rPr>
          <w:rFonts w:hint="eastAsia" w:ascii="宋体" w:hAnsi="宋体" w:cs="宋体"/>
          <w:szCs w:val="21"/>
        </w:rPr>
      </w:pPr>
      <w:r>
        <w:rPr>
          <w:rFonts w:hint="eastAsia" w:ascii="宋体" w:hAnsi="宋体" w:cs="宋体"/>
          <w:szCs w:val="21"/>
        </w:rPr>
        <w:t xml:space="preserve">日期：    年    月    日</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说明：</w:t>
      </w:r>
      <w:r/>
    </w:p>
    <w:p>
      <w:pPr>
        <w:jc w:val="left"/>
        <w:spacing w:line="360" w:lineRule="auto"/>
        <w:tabs>
          <w:tab w:val="left" w:pos="5580" w:leader="none"/>
        </w:tabs>
        <w:rPr>
          <w:rFonts w:hint="eastAsia" w:ascii="宋体" w:hAnsi="宋体" w:cs="宋体"/>
          <w:color w:val="000000"/>
          <w:szCs w:val="21"/>
        </w:rPr>
      </w:pPr>
      <w:r>
        <w:rPr>
          <w:rFonts w:hint="eastAsia" w:ascii="宋体" w:hAnsi="宋体" w:cs="宋体"/>
          <w:color w:val="000000"/>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000000"/>
          <w:szCs w:val="21"/>
          <w:u w:val="single"/>
        </w:rPr>
      </w:pPr>
      <w:r>
        <w:rPr>
          <w:rFonts w:hint="eastAsia" w:ascii="宋体" w:hAnsi="宋体" w:cs="宋体"/>
          <w:color w:val="000000"/>
          <w:szCs w:val="21"/>
        </w:rPr>
        <w:t xml:space="preserve">2.供应商为自然人的情形，可不提供本《授权委托书》。</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cs="宋体"/>
          <w:b/>
          <w:bCs/>
          <w:szCs w:val="21"/>
        </w:rPr>
      </w:pPr>
      <w:r>
        <w:rPr>
          <w:rFonts w:hint="eastAsia" w:ascii="宋体" w:hAnsi="宋体" w:cs="宋体"/>
          <w:b/>
          <w:bCs/>
          <w:szCs w:val="21"/>
        </w:rPr>
      </w:r>
      <w:r/>
    </w:p>
    <w:p>
      <w:pPr>
        <w:jc w:val="left"/>
        <w:widowControl/>
        <w:rPr>
          <w:rFonts w:hint="eastAsia" w:ascii="宋体" w:hAnsi="宋体" w:cs="宋体"/>
          <w:b/>
          <w:bCs/>
          <w:szCs w:val="21"/>
        </w:rPr>
      </w:pPr>
      <w:r>
        <w:rPr>
          <w:rFonts w:hint="eastAsia" w:ascii="宋体" w:hAnsi="宋体" w:cs="宋体"/>
          <w:b/>
          <w:bCs/>
          <w:szCs w:val="21"/>
        </w:rPr>
        <w:t xml:space="preserve">5、政府采购供应商信用承诺书（实质性格式）</w:t>
      </w:r>
      <w:r/>
    </w:p>
    <w:p>
      <w:pPr>
        <w:ind w:firstLine="211"/>
        <w:jc w:val="center"/>
        <w:spacing w:line="560" w:lineRule="exact"/>
        <w:rPr>
          <w:rFonts w:hint="eastAsia" w:ascii="宋体" w:hAnsi="宋体" w:cs="宋体"/>
          <w:b/>
          <w:szCs w:val="21"/>
        </w:rPr>
      </w:pPr>
      <w:r>
        <w:rPr>
          <w:rFonts w:hint="eastAsia" w:ascii="宋体" w:hAnsi="宋体" w:cs="宋体"/>
          <w:b/>
          <w:szCs w:val="21"/>
        </w:rPr>
      </w:r>
      <w:r/>
    </w:p>
    <w:p>
      <w:pPr>
        <w:ind w:firstLine="211"/>
        <w:jc w:val="center"/>
        <w:spacing w:line="360" w:lineRule="auto"/>
        <w:rPr>
          <w:rFonts w:hint="eastAsia" w:ascii="宋体" w:hAnsi="宋体" w:cs="宋体"/>
          <w:b/>
          <w:szCs w:val="21"/>
        </w:rPr>
      </w:pPr>
      <w:r>
        <w:rPr>
          <w:rFonts w:hint="eastAsia" w:ascii="宋体" w:hAnsi="宋体" w:cs="宋体"/>
          <w:b/>
          <w:szCs w:val="21"/>
        </w:rPr>
        <w:t xml:space="preserve">政府采购供应商信用承诺书</w:t>
      </w:r>
      <w:r/>
    </w:p>
    <w:p>
      <w:pPr>
        <w:ind w:firstLine="64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360" w:lineRule="auto"/>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360" w:lineRule="auto"/>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360" w:lineRule="auto"/>
        <w:rPr>
          <w:rFonts w:hint="eastAsia"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360" w:lineRule="auto"/>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097"/>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b/>
          <w:bCs/>
          <w:szCs w:val="21"/>
        </w:rPr>
        <w:t xml:space="preserve">6、报价一览表</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jc w:val="center"/>
        <w:rPr>
          <w:rFonts w:hint="eastAsia" w:ascii="宋体" w:hAnsi="宋体" w:cs="宋体"/>
          <w:b/>
          <w:color w:val="000000"/>
          <w:szCs w:val="21"/>
        </w:rPr>
      </w:pPr>
      <w:r/>
      <w:bookmarkStart w:id="688" w:name="_Toc265228396"/>
      <w:r/>
      <w:bookmarkStart w:id="689" w:name="_Toc226337254"/>
      <w:r/>
      <w:bookmarkStart w:id="690" w:name="_Toc226965748"/>
      <w:r/>
      <w:bookmarkStart w:id="691" w:name="_Toc264969248"/>
      <w:r/>
      <w:bookmarkStart w:id="692" w:name="_Toc164608672"/>
      <w:r/>
      <w:bookmarkStart w:id="693" w:name="_Toc226309802"/>
      <w:r/>
      <w:bookmarkStart w:id="694" w:name="_Toc226965831"/>
      <w:r/>
      <w:bookmarkStart w:id="695" w:name="_Toc195842923"/>
      <w:r/>
      <w:bookmarkStart w:id="696" w:name="_Toc164608827"/>
      <w:r/>
      <w:bookmarkStart w:id="697" w:name="_Toc305158900"/>
      <w:r/>
      <w:bookmarkStart w:id="698" w:name="_Toc305158826"/>
      <w:r>
        <w:rPr>
          <w:rFonts w:hint="eastAsia" w:ascii="宋体" w:hAnsi="宋体" w:cs="宋体"/>
          <w:b/>
          <w:color w:val="000000"/>
          <w:szCs w:val="21"/>
        </w:rPr>
        <w:t xml:space="preserve">报价一览表</w:t>
      </w:r>
      <w:bookmarkEnd w:id="688"/>
      <w:r/>
      <w:bookmarkEnd w:id="689"/>
      <w:r/>
      <w:bookmarkEnd w:id="690"/>
      <w:r/>
      <w:bookmarkEnd w:id="691"/>
      <w:r/>
      <w:bookmarkEnd w:id="692"/>
      <w:r/>
      <w:bookmarkEnd w:id="693"/>
      <w:r/>
      <w:bookmarkEnd w:id="694"/>
      <w:r/>
      <w:bookmarkEnd w:id="695"/>
      <w:r/>
      <w:bookmarkEnd w:id="696"/>
      <w:r/>
      <w:bookmarkEnd w:id="697"/>
      <w:r/>
      <w:bookmarkEnd w:id="698"/>
      <w:r/>
      <w:r/>
    </w:p>
    <w:p>
      <w:pPr>
        <w:jc w:val="left"/>
        <w:spacing w:line="360" w:lineRule="auto"/>
        <w:tabs>
          <w:tab w:val="left" w:pos="1800" w:leader="none"/>
          <w:tab w:val="left" w:pos="5580" w:leader="none"/>
        </w:tabs>
        <w:rPr>
          <w:rFonts w:hint="eastAsia" w:ascii="宋体" w:hAnsi="宋体" w:cs="宋体"/>
          <w:i/>
          <w:color w:val="ff0000"/>
          <w:szCs w:val="21"/>
        </w:rPr>
      </w:pPr>
      <w:r>
        <w:rPr>
          <w:rFonts w:hint="eastAsia" w:ascii="宋体" w:hAnsi="宋体" w:cs="宋体"/>
          <w:i/>
          <w:color w:val="ff0000"/>
          <w:szCs w:val="21"/>
        </w:rPr>
      </w:r>
      <w:r/>
    </w:p>
    <w:p>
      <w:pPr>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81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8"/>
        <w:gridCol w:w="3668"/>
        <w:gridCol w:w="2318"/>
        <w:gridCol w:w="2440"/>
      </w:tblGrid>
      <w:tr>
        <w:trPr>
          <w:jc w:val="center"/>
          <w:trHeight w:val="531"/>
        </w:trPr>
        <w:tc>
          <w:tcPr>
            <w:tcBorders>
              <w:top w:val="single" w:color="auto" w:sz="4" w:space="0"/>
              <w:left w:val="single" w:color="auto" w:sz="4" w:space="0"/>
              <w:bottom w:val="single" w:color="auto" w:sz="4" w:space="0"/>
              <w:right w:val="single" w:color="auto" w:sz="4" w:space="0"/>
            </w:tcBorders>
            <w:tcW w:w="928" w:type="dxa"/>
            <w:vAlign w:val="center"/>
            <w:vMerge w:val="restart"/>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3668" w:type="dxa"/>
            <w:vAlign w:val="center"/>
            <w:vMerge w:val="restart"/>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供应商名称</w:t>
            </w:r>
            <w:r/>
          </w:p>
        </w:tc>
        <w:tc>
          <w:tcPr>
            <w:gridSpan w:val="2"/>
            <w:tcBorders>
              <w:top w:val="single" w:color="auto" w:sz="4" w:space="0"/>
              <w:left w:val="single" w:color="auto" w:sz="4" w:space="0"/>
              <w:bottom w:val="single" w:color="auto" w:sz="4" w:space="0"/>
              <w:right w:val="single" w:color="auto" w:sz="4" w:space="0"/>
            </w:tcBorders>
            <w:tcW w:w="4758" w:type="dxa"/>
            <w:vAlign w:val="center"/>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928" w:type="dxa"/>
            <w:vAlign w:val="center"/>
            <w:vMerge w:val="continue"/>
            <w:textDirection w:val="lrTb"/>
            <w:noWrap w:val="false"/>
          </w:tcPr>
          <w:p>
            <w:pPr>
              <w:jc w:val="left"/>
              <w:widowControl/>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3668" w:type="dxa"/>
            <w:vAlign w:val="center"/>
            <w:vMerge w:val="continue"/>
            <w:textDirection w:val="lrTb"/>
            <w:noWrap w:val="false"/>
          </w:tcPr>
          <w:p>
            <w:pPr>
              <w:jc w:val="left"/>
              <w:widowControl/>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大写</w:t>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hint="eastAsia" w:ascii="宋体" w:hAnsi="宋体" w:cs="宋体"/>
                <w:b/>
                <w:szCs w:val="21"/>
              </w:rPr>
            </w:pPr>
            <w:r>
              <w:rPr>
                <w:rFonts w:hint="eastAsia" w:ascii="宋体" w:hAnsi="宋体" w:cs="宋体"/>
                <w:b/>
                <w:szCs w:val="21"/>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440" w:type="dxa"/>
            <w:vAlign w:val="center"/>
            <w:textDirection w:val="lrTb"/>
            <w:noWrap w:val="false"/>
          </w:tcPr>
          <w:p>
            <w:pPr>
              <w:jc w:val="center"/>
              <w:tabs>
                <w:tab w:val="left" w:pos="5580" w:leader="none"/>
              </w:tabs>
              <w:rPr>
                <w:rFonts w:hint="eastAsia" w:ascii="宋体" w:hAnsi="宋体" w:cs="宋体"/>
                <w:szCs w:val="21"/>
              </w:rPr>
            </w:pPr>
            <w:r>
              <w:rPr>
                <w:rFonts w:hint="eastAsia" w:ascii="宋体" w:hAnsi="宋体" w:cs="宋体"/>
                <w:szCs w:val="21"/>
              </w:rPr>
            </w:r>
            <w:r/>
          </w:p>
        </w:tc>
      </w:tr>
    </w:tbl>
    <w:p>
      <w:pPr>
        <w:jc w:val="left"/>
        <w:rPr>
          <w:rFonts w:hint="eastAsia" w:ascii="宋体" w:hAnsi="宋体" w:cs="宋体"/>
          <w:color w:val="000000"/>
          <w:szCs w:val="21"/>
        </w:rPr>
      </w:pPr>
      <w:r>
        <w:rPr>
          <w:rFonts w:hint="eastAsia" w:ascii="宋体" w:hAnsi="宋体" w:cs="宋体"/>
          <w:color w:val="000000"/>
          <w:szCs w:val="21"/>
        </w:rPr>
      </w:r>
      <w:r/>
    </w:p>
    <w:p>
      <w:pPr>
        <w:jc w:val="left"/>
        <w:rPr>
          <w:rFonts w:hint="eastAsia" w:ascii="宋体" w:hAnsi="宋体" w:cs="宋体"/>
          <w:color w:val="000000"/>
          <w:szCs w:val="21"/>
        </w:rPr>
      </w:pPr>
      <w:r>
        <w:rPr>
          <w:rFonts w:hint="eastAsia" w:ascii="宋体" w:hAnsi="宋体" w:cs="宋体"/>
          <w:color w:val="000000"/>
          <w:szCs w:val="21"/>
        </w:rPr>
        <w:t xml:space="preserve">注：1.此表中，每包的报价应和《分项报价表》中的总价相一致。</w:t>
      </w:r>
      <w:r/>
    </w:p>
    <w:p>
      <w:pPr>
        <w:ind w:firstLine="420"/>
        <w:tabs>
          <w:tab w:val="left" w:pos="5580" w:leader="none"/>
        </w:tabs>
        <w:rPr>
          <w:rFonts w:hint="eastAsia" w:ascii="宋体" w:hAnsi="宋体" w:cs="宋体"/>
          <w:color w:val="000000"/>
          <w:szCs w:val="21"/>
        </w:rPr>
      </w:pPr>
      <w:r>
        <w:rPr>
          <w:rFonts w:hint="eastAsia" w:ascii="宋体" w:hAnsi="宋体" w:cs="宋体"/>
          <w:color w:val="000000"/>
          <w:szCs w:val="21"/>
        </w:rPr>
        <w:t xml:space="preserve">2.本表必须按包分别填写。</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b/>
          <w:bCs/>
          <w:szCs w:val="21"/>
        </w:rPr>
      </w:pPr>
      <w:r/>
      <w:bookmarkStart w:id="699" w:name="_Toc226965832"/>
      <w:r/>
      <w:bookmarkStart w:id="700" w:name="_Toc127151558"/>
      <w:r/>
      <w:bookmarkStart w:id="701" w:name="_Toc226337255"/>
      <w:r/>
      <w:bookmarkStart w:id="702" w:name="_Toc305158901"/>
      <w:r/>
      <w:bookmarkStart w:id="703" w:name="_Toc226965749"/>
      <w:r/>
      <w:bookmarkStart w:id="704" w:name="_Toc150774763"/>
      <w:r/>
      <w:bookmarkStart w:id="705" w:name="_Toc142311060"/>
      <w:r/>
      <w:bookmarkStart w:id="706" w:name="_Toc195842924"/>
      <w:r/>
      <w:bookmarkStart w:id="707" w:name="_Toc264969249"/>
      <w:r/>
      <w:bookmarkStart w:id="708" w:name="_Toc150480796"/>
      <w:r/>
      <w:bookmarkStart w:id="709" w:name="_Toc226309803"/>
      <w:r/>
      <w:bookmarkStart w:id="710" w:name="_Toc265228397"/>
      <w:r/>
      <w:bookmarkStart w:id="711" w:name="_Toc305158827"/>
      <w:r>
        <w:rPr>
          <w:rFonts w:hint="eastAsia" w:ascii="宋体" w:hAnsi="宋体" w:cs="宋体"/>
          <w:b/>
          <w:bCs/>
          <w:szCs w:val="21"/>
        </w:rPr>
        <w:br w:type="page" w:clear="all"/>
      </w:r>
      <w:r>
        <w:rPr>
          <w:rFonts w:hint="eastAsia" w:ascii="宋体" w:hAnsi="宋体" w:cs="宋体"/>
          <w:b/>
          <w:bCs/>
          <w:szCs w:val="21"/>
        </w:rPr>
        <w:t xml:space="preserve">7、分项报价表</w:t>
      </w:r>
      <w:r/>
    </w:p>
    <w:p>
      <w:pPr>
        <w:jc w:val="center"/>
        <w:spacing w:line="360" w:lineRule="auto"/>
        <w:rPr>
          <w:rFonts w:hint="eastAsia" w:ascii="宋体" w:hAnsi="宋体" w:cs="宋体"/>
          <w:b/>
          <w:bCs/>
          <w:szCs w:val="21"/>
        </w:rPr>
      </w:pPr>
      <w:r>
        <w:rPr>
          <w:rFonts w:hint="eastAsia" w:ascii="宋体" w:hAnsi="宋体" w:cs="宋体"/>
          <w:b/>
          <w:bCs/>
          <w:szCs w:val="21"/>
        </w:rPr>
        <w:t xml:space="preserve">分项报价表</w:t>
      </w:r>
      <w:r/>
    </w:p>
    <w:p>
      <w:pPr>
        <w:jc w:val="left"/>
        <w:rPr>
          <w:b/>
          <w:bCs/>
          <w:i/>
          <w:iCs/>
          <w:color w:val="ff0000"/>
          <w:sz w:val="24"/>
        </w:rPr>
      </w:pPr>
      <w:r>
        <w:rPr>
          <w:rFonts w:hint="eastAsia" w:ascii="宋体" w:hAnsi="宋体" w:cs="宋体"/>
          <w:b/>
          <w:bCs/>
          <w:i/>
          <w:iCs/>
          <w:color w:val="ff0000"/>
          <w:szCs w:val="21"/>
        </w:rPr>
        <w:t xml:space="preserve">（格式示例二</w:t>
      </w:r>
      <w:r>
        <w:rPr>
          <w:rFonts w:ascii="宋体" w:hAnsi="宋体" w:cs="宋体"/>
          <w:b/>
          <w:bCs/>
          <w:i/>
          <w:iCs/>
          <w:color w:val="ff0000"/>
          <w:szCs w:val="21"/>
        </w:rPr>
        <w:t xml:space="preserve">，适用于服务类项目</w:t>
      </w:r>
      <w:r>
        <w:rPr>
          <w:rFonts w:hint="eastAsia" w:ascii="宋体" w:hAnsi="宋体" w:cs="宋体"/>
          <w:b/>
          <w:bCs/>
          <w:i/>
          <w:iCs/>
          <w:color w:val="ff0000"/>
          <w:szCs w:val="21"/>
        </w:rPr>
        <w:t xml:space="preserve">，可以根据项目实际情况调整）</w:t>
      </w:r>
      <w:r/>
    </w:p>
    <w:p>
      <w:pPr>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Style w:val="813"/>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39"/>
        <w:gridCol w:w="2739"/>
        <w:gridCol w:w="1127"/>
        <w:gridCol w:w="1073"/>
        <w:gridCol w:w="994"/>
        <w:gridCol w:w="1159"/>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tc>
      </w:tr>
    </w:tbl>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注：1.本表应按包分别填写。</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2.如果不提供分项报价将视为没有实质性响应磋商文件</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3.本表行数可以按照项目分项情况增加。</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4.上述各项的服务内容如表格中填写不下的，可以逐项另页描述。</w:t>
      </w:r>
      <w:r/>
    </w:p>
    <w:p>
      <w:pPr>
        <w:jc w:val="left"/>
        <w:spacing w:line="360" w:lineRule="auto"/>
        <w:tabs>
          <w:tab w:val="left" w:pos="1800" w:leader="none"/>
          <w:tab w:val="left" w:pos="5580" w:leader="none"/>
        </w:tabs>
        <w:rPr>
          <w:rFonts w:hint="eastAsia" w:ascii="宋体" w:hAnsi="宋体" w:cs="宋体"/>
          <w:color w:val="000000"/>
          <w:szCs w:val="21"/>
          <w:lang w:val="zh-CN"/>
        </w:rPr>
      </w:pPr>
      <w:r>
        <w:rPr>
          <w:rFonts w:hint="eastAsia" w:ascii="宋体" w:hAnsi="宋体" w:cs="宋体"/>
          <w:color w:val="000000"/>
          <w:szCs w:val="21"/>
          <w:lang w:val="zh-CN"/>
        </w:rPr>
        <w:t xml:space="preserve">                  </w:t>
      </w:r>
      <w:r/>
    </w:p>
    <w:p>
      <w:pPr>
        <w:jc w:val="left"/>
        <w:spacing w:line="360" w:lineRule="auto"/>
        <w:tabs>
          <w:tab w:val="left" w:pos="1800" w:leader="none"/>
          <w:tab w:val="left" w:pos="5580" w:leader="none"/>
        </w:tabs>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jc w:val="left"/>
        <w:spacing w:line="360" w:lineRule="auto"/>
        <w:tabs>
          <w:tab w:val="left" w:pos="1800" w:leader="none"/>
          <w:tab w:val="left" w:pos="5580" w:leader="none"/>
        </w:tabs>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widowControl/>
        <w:rPr>
          <w:rFonts w:hint="eastAsia" w:ascii="宋体" w:hAnsi="宋体" w:cs="宋体"/>
          <w:b/>
          <w:bCs/>
          <w:szCs w:val="21"/>
        </w:rPr>
      </w:pPr>
      <w:r>
        <w:rPr>
          <w:rFonts w:hint="eastAsia" w:ascii="宋体" w:hAnsi="宋体" w:cs="宋体"/>
          <w:color w:val="000000"/>
          <w:szCs w:val="21"/>
        </w:rPr>
        <w:br w:type="page" w:clear="all"/>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2" w:name="_Toc226965835"/>
      <w:r/>
      <w:bookmarkStart w:id="713" w:name="_Toc142311062"/>
      <w:r/>
      <w:bookmarkStart w:id="714" w:name="_Toc226309806"/>
      <w:r/>
      <w:bookmarkStart w:id="715" w:name="_Toc265228400"/>
      <w:r/>
      <w:bookmarkStart w:id="716" w:name="_Toc305158830"/>
      <w:r/>
      <w:bookmarkStart w:id="717" w:name="_Toc226337258"/>
      <w:r/>
      <w:bookmarkStart w:id="718" w:name="_Toc226965752"/>
      <w:r/>
      <w:bookmarkStart w:id="719" w:name="_Toc305158904"/>
      <w:r/>
      <w:bookmarkStart w:id="720" w:name="_Toc264969252"/>
      <w:r/>
      <w:bookmarkStart w:id="721" w:name="_Toc150774765"/>
      <w:r/>
      <w:bookmarkStart w:id="722" w:name="_Toc127151562"/>
      <w:r/>
      <w:bookmarkStart w:id="723" w:name="_Toc195842927"/>
      <w:r/>
      <w:bookmarkStart w:id="724" w:name="_Toc150480798"/>
      <w:r/>
      <w:bookmarkStart w:id="725" w:name="_Toc265228399"/>
      <w:r/>
      <w:bookmarkStart w:id="726" w:name="_Toc226965834"/>
      <w:r/>
      <w:bookmarkStart w:id="727" w:name="_Toc150774764"/>
      <w:r/>
      <w:bookmarkStart w:id="728" w:name="_Toc226309805"/>
      <w:r/>
      <w:bookmarkStart w:id="729" w:name="_Toc305158829"/>
      <w:r/>
      <w:bookmarkStart w:id="730" w:name="_Toc195842926"/>
      <w:r/>
      <w:bookmarkStart w:id="731" w:name="_Toc226965751"/>
      <w:r/>
      <w:bookmarkStart w:id="732" w:name="_Toc264969251"/>
      <w:r/>
      <w:bookmarkStart w:id="733" w:name="_Toc127151561"/>
      <w:r/>
      <w:bookmarkStart w:id="734" w:name="_Toc150480797"/>
      <w:r/>
      <w:bookmarkStart w:id="735" w:name="_Toc142311061"/>
      <w:r/>
      <w:bookmarkStart w:id="736" w:name="_Toc305158903"/>
      <w:r/>
      <w:bookmarkStart w:id="737" w:name="_Toc226337257"/>
      <w:r>
        <w:rPr>
          <w:rFonts w:hint="eastAsia" w:ascii="宋体" w:hAnsi="宋体" w:cs="宋体"/>
          <w:b/>
          <w:bCs/>
          <w:szCs w:val="21"/>
        </w:rPr>
        <w:t xml:space="preserve">8、合同条款偏离表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jc w:val="center"/>
        <w:rPr>
          <w:rFonts w:hint="eastAsia" w:ascii="宋体" w:hAnsi="宋体" w:cs="宋体"/>
          <w:b/>
          <w:color w:val="000000"/>
          <w:szCs w:val="21"/>
        </w:rPr>
      </w:pPr>
      <w:r>
        <w:rPr>
          <w:rFonts w:hint="eastAsia" w:ascii="宋体" w:hAnsi="宋体" w:cs="宋体"/>
          <w:b/>
          <w:color w:val="000000"/>
          <w:szCs w:val="21"/>
        </w:rPr>
      </w:r>
      <w:r/>
    </w:p>
    <w:p>
      <w:pPr>
        <w:jc w:val="center"/>
        <w:rPr>
          <w:rFonts w:hint="eastAsia" w:ascii="宋体" w:hAnsi="宋体" w:cs="宋体"/>
          <w:b/>
          <w:color w:val="000000"/>
          <w:szCs w:val="21"/>
        </w:rPr>
      </w:pPr>
      <w:r>
        <w:rPr>
          <w:rFonts w:hint="eastAsia" w:ascii="宋体" w:hAnsi="宋体" w:cs="宋体"/>
          <w:b/>
          <w:color w:val="000000"/>
          <w:szCs w:val="21"/>
        </w:rPr>
        <w:t xml:space="preserve">合同条款偏离表</w:t>
      </w:r>
      <w:r/>
    </w:p>
    <w:p>
      <w:pPr>
        <w:spacing w:line="360" w:lineRule="auto"/>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项目名称：_____________________</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jc w:val="center"/>
          <w:trHeight w:val="930"/>
        </w:trPr>
        <w:tc>
          <w:tcPr>
            <w:gridSpan w:val="6"/>
            <w:tcW w:w="9354" w:type="dxa"/>
            <w:vAlign w:val="center"/>
            <w:textDirection w:val="lrTb"/>
            <w:noWrap w:val="false"/>
          </w:tcPr>
          <w:p>
            <w:pPr>
              <w:jc w:val="left"/>
              <w:rPr>
                <w:rFonts w:hint="eastAsia" w:ascii="宋体" w:hAnsi="宋体" w:cs="宋体"/>
                <w:b/>
                <w:color w:val="000000"/>
                <w:szCs w:val="21"/>
              </w:rPr>
            </w:pPr>
            <w:r>
              <w:rPr>
                <w:rFonts w:hint="eastAsia" w:ascii="宋体" w:hAnsi="宋体" w:cs="宋体"/>
                <w:b/>
                <w:color w:val="000000"/>
                <w:szCs w:val="21"/>
              </w:rPr>
              <w:t xml:space="preserve">对本项目合同条款的偏离情况（请进行勾选）：</w:t>
            </w:r>
            <w:r/>
          </w:p>
          <w:p>
            <w:pPr>
              <w:jc w:val="left"/>
              <w:rPr>
                <w:rFonts w:hint="eastAsia"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p>
          <w:p>
            <w:pPr>
              <w:jc w:val="left"/>
              <w:rPr>
                <w:rFonts w:hint="eastAsia"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磋商文件条目号（页码）</w:t>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磋商文件要求</w:t>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响应文件内容</w:t>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偏离情况</w:t>
            </w:r>
            <w:r/>
          </w:p>
          <w:p>
            <w:pPr>
              <w:jc w:val="center"/>
              <w:rPr>
                <w:rFonts w:hint="eastAsia" w:ascii="宋体" w:hAnsi="宋体" w:cs="宋体"/>
                <w:color w:val="000000"/>
                <w:szCs w:val="21"/>
              </w:rPr>
            </w:pPr>
            <w:r>
              <w:rPr>
                <w:rFonts w:hint="eastAsia" w:ascii="宋体" w:hAnsi="宋体" w:cs="宋体"/>
                <w:color w:val="000000"/>
                <w:szCs w:val="21"/>
              </w:rPr>
              <w:t xml:space="preserve">（据实填写）</w:t>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83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2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99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44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78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bl>
    <w:p>
      <w:pPr>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对合同条款中的所有要求，除本表所列明的所有偏离外，均视作供应商已对之理解和响应。</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b/>
          <w:bCs/>
          <w:szCs w:val="21"/>
        </w:rPr>
      </w:pPr>
      <w:r>
        <w:rPr>
          <w:rFonts w:hint="eastAsia" w:ascii="宋体" w:hAnsi="宋体" w:cs="宋体"/>
          <w:color w:val="000000"/>
          <w:szCs w:val="21"/>
        </w:rPr>
        <w:br w:type="page" w:clear="all"/>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ascii="宋体" w:hAnsi="宋体" w:cs="宋体"/>
          <w:b/>
          <w:bCs/>
          <w:szCs w:val="21"/>
        </w:rPr>
        <w:t xml:space="preserve">9、采购需求偏离表</w:t>
      </w:r>
      <w:r/>
    </w:p>
    <w:p>
      <w:pPr>
        <w:jc w:val="center"/>
        <w:rPr>
          <w:rFonts w:hint="eastAsia" w:ascii="宋体" w:hAnsi="宋体" w:cs="宋体"/>
          <w:b/>
          <w:color w:val="000000"/>
          <w:szCs w:val="21"/>
        </w:rPr>
      </w:pPr>
      <w:r>
        <w:rPr>
          <w:rFonts w:hint="eastAsia" w:ascii="宋体" w:hAnsi="宋体" w:cs="宋体"/>
          <w:b/>
          <w:color w:val="000000"/>
          <w:szCs w:val="21"/>
        </w:rPr>
        <w:t xml:space="preserve">采购需求偏离表</w:t>
      </w:r>
      <w:r/>
    </w:p>
    <w:p>
      <w:pPr>
        <w:jc w:val="center"/>
        <w:rPr>
          <w:rFonts w:hint="eastAsia" w:ascii="宋体" w:hAnsi="宋体" w:cs="宋体"/>
          <w:color w:val="000000"/>
          <w:szCs w:val="21"/>
        </w:rPr>
      </w:pPr>
      <w:r>
        <w:rPr>
          <w:rFonts w:hint="eastAsia" w:ascii="宋体" w:hAnsi="宋体" w:cs="宋体"/>
          <w:color w:val="000000"/>
          <w:szCs w:val="21"/>
        </w:rPr>
      </w:r>
      <w:r/>
    </w:p>
    <w:p>
      <w:pPr>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jc w:val="center"/>
          <w:trHeight w:val="1053"/>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磋商文件条目号(页码)</w:t>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磋商文件要求</w:t>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响应内容</w:t>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偏离情况</w:t>
            </w:r>
            <w:r/>
          </w:p>
          <w:p>
            <w:pPr>
              <w:jc w:val="center"/>
              <w:rPr>
                <w:rFonts w:hint="eastAsia" w:ascii="宋体" w:hAnsi="宋体" w:cs="宋体"/>
                <w:color w:val="000000"/>
                <w:szCs w:val="21"/>
              </w:rPr>
            </w:pPr>
            <w:r>
              <w:rPr>
                <w:rFonts w:hint="eastAsia" w:ascii="宋体" w:hAnsi="宋体" w:cs="宋体"/>
                <w:color w:val="000000"/>
                <w:szCs w:val="21"/>
              </w:rPr>
              <w:t xml:space="preserve">（据实填写）</w:t>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说明</w:t>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7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r>
    </w:tbl>
    <w:p>
      <w:pPr>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p>
    <w:p>
      <w:pPr>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pPr>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p>
    <w:p>
      <w:pPr>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rPr>
          <w:rFonts w:hint="eastAsia" w:ascii="宋体" w:hAnsi="宋体" w:cs="宋体"/>
          <w:b/>
          <w:bCs/>
          <w:szCs w:val="21"/>
        </w:rPr>
      </w:pPr>
      <w:r>
        <w:rPr>
          <w:rFonts w:hint="eastAsia" w:ascii="宋体" w:hAnsi="宋体" w:cs="宋体"/>
          <w:b/>
          <w:bCs/>
          <w:szCs w:val="21"/>
        </w:rPr>
        <w:br w:type="page" w:clear="all"/>
      </w:r>
      <w:r/>
    </w:p>
    <w:p>
      <w:pPr>
        <w:rPr>
          <w:rFonts w:hint="eastAsia" w:ascii="宋体" w:hAnsi="宋体" w:cs="宋体"/>
          <w:b/>
          <w:bCs/>
          <w:szCs w:val="21"/>
        </w:rPr>
      </w:pPr>
      <w:r>
        <w:rPr>
          <w:rFonts w:hint="eastAsia" w:ascii="宋体" w:hAnsi="宋体" w:cs="宋体"/>
          <w:b/>
          <w:bCs/>
          <w:szCs w:val="21"/>
        </w:rPr>
        <w:t xml:space="preserve">10、项目实施方案等，包括但不限于如下主题：</w:t>
      </w:r>
      <w:r/>
    </w:p>
    <w:p>
      <w:pPr>
        <w:ind w:firstLine="420"/>
        <w:spacing w:line="56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项目实施方案</w:t>
      </w:r>
      <w:r>
        <w:rPr>
          <w:rFonts w:hint="eastAsia" w:ascii="宋体" w:hAnsi="宋体" w:cs="宋体"/>
          <w:color w:val="000000"/>
          <w:szCs w:val="21"/>
        </w:rPr>
        <w:t xml:space="preserve">；</w:t>
      </w:r>
      <w:r/>
    </w:p>
    <w:p>
      <w:pPr>
        <w:ind w:firstLine="420"/>
        <w:spacing w:line="560" w:lineRule="exact"/>
        <w:rPr>
          <w:rFonts w:hint="eastAsia" w:ascii="宋体" w:hAnsi="宋体" w:cs="宋体"/>
          <w:szCs w:val="21"/>
        </w:rPr>
      </w:pPr>
      <w:r>
        <w:rPr>
          <w:rFonts w:hint="eastAsia" w:ascii="宋体" w:hAnsi="宋体" w:cs="宋体"/>
          <w:szCs w:val="21"/>
        </w:rPr>
        <w:t xml:space="preserve">2）系统运维服务方案；</w:t>
      </w:r>
      <w:r/>
    </w:p>
    <w:p>
      <w:pPr>
        <w:ind w:firstLine="420"/>
        <w:spacing w:line="560" w:lineRule="exact"/>
        <w:rPr>
          <w:rFonts w:hint="eastAsia" w:ascii="宋体" w:hAnsi="宋体" w:cs="宋体"/>
          <w:szCs w:val="21"/>
        </w:rPr>
      </w:pPr>
      <w:r>
        <w:rPr>
          <w:rFonts w:hint="eastAsia" w:ascii="宋体" w:hAnsi="宋体" w:cs="宋体"/>
          <w:szCs w:val="21"/>
        </w:rPr>
        <w:t xml:space="preserve">3）培训方案；</w:t>
      </w:r>
      <w:r/>
    </w:p>
    <w:p>
      <w:pPr>
        <w:ind w:firstLine="420"/>
        <w:spacing w:line="560" w:lineRule="exact"/>
        <w:rPr>
          <w:rFonts w:hint="eastAsia" w:ascii="宋体" w:hAnsi="宋体" w:cs="宋体"/>
          <w:szCs w:val="21"/>
        </w:rPr>
      </w:pPr>
      <w:r>
        <w:rPr>
          <w:rFonts w:hint="eastAsia" w:ascii="宋体" w:hAnsi="宋体" w:cs="宋体"/>
          <w:szCs w:val="21"/>
        </w:rPr>
        <w:t xml:space="preserve">4）售后服务方案；</w:t>
      </w:r>
      <w:r/>
    </w:p>
    <w:p>
      <w:pPr>
        <w:ind w:firstLine="420"/>
        <w:spacing w:line="560" w:lineRule="exact"/>
        <w:rPr>
          <w:rFonts w:hint="eastAsia" w:ascii="宋体" w:hAnsi="宋体" w:cs="宋体"/>
          <w:szCs w:val="21"/>
        </w:rPr>
      </w:pPr>
      <w:r>
        <w:rPr>
          <w:rFonts w:hint="eastAsia" w:ascii="宋体" w:hAnsi="宋体" w:cs="宋体"/>
          <w:szCs w:val="21"/>
        </w:rPr>
        <w:t xml:space="preserve">5）其他。</w:t>
      </w:r>
      <w:r/>
    </w:p>
    <w:p>
      <w:pPr>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br w:type="page" w:clear="all"/>
      </w:r>
      <w:r/>
    </w:p>
    <w:p>
      <w:pPr>
        <w:spacing w:line="360" w:lineRule="auto"/>
        <w:rPr>
          <w:rFonts w:hint="eastAsia" w:ascii="宋体" w:hAnsi="宋体" w:cs="宋体"/>
          <w:b/>
          <w:szCs w:val="21"/>
        </w:rPr>
      </w:pPr>
      <w:r>
        <w:rPr>
          <w:rFonts w:hint="eastAsia" w:ascii="宋体" w:hAnsi="宋体" w:cs="宋体"/>
          <w:b/>
          <w:bCs/>
          <w:szCs w:val="21"/>
        </w:rPr>
        <w:t xml:space="preserve">11、参加本项目人员一览表</w:t>
      </w:r>
      <w:r/>
    </w:p>
    <w:p>
      <w:pPr>
        <w:jc w:val="center"/>
        <w:spacing w:line="360" w:lineRule="auto"/>
        <w:rPr>
          <w:rFonts w:hint="eastAsia" w:ascii="宋体" w:hAnsi="宋体" w:cs="宋体"/>
          <w:szCs w:val="21"/>
        </w:rPr>
      </w:pPr>
      <w:r>
        <w:rPr>
          <w:rFonts w:hint="eastAsia" w:ascii="宋体" w:hAnsi="宋体" w:cs="宋体"/>
          <w:b/>
          <w:szCs w:val="21"/>
        </w:rPr>
        <w:t xml:space="preserve">参加本项目人员一览表</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81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jc w:val="center"/>
        </w:trPr>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p>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bl>
    <w:p>
      <w:pPr>
        <w:tabs>
          <w:tab w:val="left" w:pos="9765" w:leader="none"/>
        </w:tabs>
        <w:rPr>
          <w:rFonts w:hint="eastAsia" w:ascii="宋体" w:hAnsi="宋体" w:cs="宋体"/>
          <w:b/>
          <w:szCs w:val="21"/>
          <w:lang w:val="zh-CN"/>
        </w:rPr>
      </w:pPr>
      <w:r>
        <w:rPr>
          <w:rFonts w:hint="eastAsia" w:ascii="宋体" w:hAnsi="宋体" w:cs="宋体"/>
          <w:b/>
          <w:szCs w:val="21"/>
          <w:lang w:val="zh-CN"/>
        </w:rPr>
      </w:r>
      <w:r/>
    </w:p>
    <w:p>
      <w:pPr>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注：参加本项目人员须是供应商正式职工。</w:t>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b/>
          <w:bCs/>
          <w:szCs w:val="21"/>
        </w:rPr>
      </w:pPr>
      <w:r>
        <w:rPr>
          <w:rFonts w:hint="eastAsia" w:ascii="宋体" w:hAnsi="宋体" w:cs="宋体"/>
          <w:szCs w:val="21"/>
        </w:rPr>
        <w:br w:type="page" w:clear="all"/>
      </w:r>
      <w:bookmarkStart w:id="738" w:name="_Toc288738397"/>
      <w:r/>
      <w:bookmarkStart w:id="739" w:name="_Toc288738839"/>
      <w:r>
        <w:rPr>
          <w:rFonts w:hint="eastAsia" w:ascii="宋体" w:hAnsi="宋体" w:cs="宋体"/>
          <w:b/>
          <w:bCs/>
          <w:szCs w:val="21"/>
        </w:rPr>
        <w:t xml:space="preserve">12、相关业绩案例一览表</w:t>
      </w:r>
      <w:r/>
    </w:p>
    <w:p>
      <w:pPr>
        <w:jc w:val="center"/>
        <w:spacing w:line="360" w:lineRule="auto"/>
        <w:rPr>
          <w:rFonts w:hint="eastAsia" w:ascii="宋体" w:hAnsi="宋体" w:cs="宋体"/>
          <w:b/>
          <w:szCs w:val="21"/>
        </w:rPr>
      </w:pPr>
      <w:r>
        <w:rPr>
          <w:rFonts w:hint="eastAsia" w:ascii="宋体" w:hAnsi="宋体" w:cs="宋体"/>
          <w:b/>
          <w:szCs w:val="21"/>
        </w:rPr>
        <w:t xml:space="preserve">相关业绩案例一览表</w:t>
      </w:r>
      <w:bookmarkEnd w:id="738"/>
      <w:r/>
      <w:bookmarkEnd w:id="739"/>
      <w:r/>
      <w:r/>
    </w:p>
    <w:p>
      <w:pPr>
        <w:jc w:val="cente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8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jc w:val="center"/>
          <w:trHeight w:val="498"/>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332"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332"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45"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579"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244"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796"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658" w:type="dxa"/>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tabs>
          <w:tab w:val="left" w:pos="9765" w:leader="none"/>
        </w:tabs>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pStyle w:val="823"/>
        <w:rPr>
          <w:rFonts w:hint="eastAsia" w:ascii="宋体" w:hAnsi="宋体" w:cs="宋体"/>
          <w:color w:val="000000"/>
          <w:sz w:val="21"/>
          <w:szCs w:val="21"/>
        </w:rPr>
      </w:pPr>
      <w:r>
        <w:rPr>
          <w:rFonts w:hint="eastAsia" w:ascii="宋体" w:hAnsi="宋体" w:cs="宋体"/>
          <w:color w:val="000000"/>
          <w:sz w:val="21"/>
          <w:szCs w:val="21"/>
        </w:rPr>
      </w:r>
      <w:r/>
    </w:p>
    <w:p>
      <w:pPr>
        <w:rPr>
          <w:rFonts w:hint="eastAsia" w:ascii="宋体" w:hAnsi="宋体" w:cs="宋体"/>
          <w:color w:val="000000"/>
          <w:szCs w:val="21"/>
        </w:rPr>
      </w:pPr>
      <w:r>
        <w:rPr>
          <w:rFonts w:hint="eastAsia" w:ascii="宋体" w:hAnsi="宋体" w:cs="宋体"/>
          <w:color w:val="000000"/>
          <w:szCs w:val="21"/>
        </w:rPr>
      </w:r>
      <w:r/>
    </w:p>
    <w:p>
      <w:pPr>
        <w:pStyle w:val="823"/>
        <w:rPr>
          <w:rFonts w:hint="eastAsia" w:ascii="宋体" w:hAnsi="宋体" w:cs="宋体"/>
          <w:color w:val="000000"/>
          <w:sz w:val="21"/>
          <w:szCs w:val="21"/>
        </w:rPr>
      </w:pPr>
      <w:r>
        <w:rPr>
          <w:rFonts w:hint="eastAsia" w:ascii="宋体" w:hAnsi="宋体" w:cs="宋体"/>
          <w:color w:val="000000"/>
          <w:sz w:val="21"/>
          <w:szCs w:val="21"/>
        </w:rPr>
      </w:r>
      <w:r/>
    </w:p>
    <w:p>
      <w:pPr>
        <w:rPr>
          <w:rFonts w:hint="eastAsia" w:ascii="宋体" w:hAnsi="宋体" w:cs="宋体"/>
          <w:szCs w:val="21"/>
        </w:rPr>
      </w:pPr>
      <w:r>
        <w:rPr>
          <w:rFonts w:hint="eastAsia" w:ascii="宋体" w:hAnsi="宋体" w:cs="宋体"/>
          <w:szCs w:val="21"/>
        </w:rPr>
      </w:r>
      <w:r/>
    </w:p>
    <w:p>
      <w:pPr>
        <w:jc w:val="left"/>
        <w:widowControl/>
        <w:rPr>
          <w:rFonts w:hint="eastAsia" w:ascii="宋体" w:hAnsi="宋体" w:cs="宋体"/>
          <w:b/>
          <w:bCs/>
          <w:color w:val="000000"/>
          <w:szCs w:val="21"/>
        </w:rPr>
      </w:pPr>
      <w:r>
        <w:rPr>
          <w:rFonts w:hint="eastAsia" w:ascii="宋体" w:hAnsi="宋体" w:cs="宋体"/>
          <w:b/>
          <w:bCs/>
          <w:color w:val="000000"/>
          <w:szCs w:val="21"/>
        </w:rPr>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13、磋商文件要求提供或供应商认为应附的其他材料</w:t>
      </w:r>
      <w:r/>
    </w:p>
    <w:p>
      <w:pPr>
        <w:ind w:firstLine="211"/>
        <w:spacing w:line="360" w:lineRule="auto"/>
        <w:rPr>
          <w:rFonts w:hint="eastAsia" w:ascii="宋体" w:hAnsi="宋体" w:cs="宋体"/>
          <w:b/>
          <w:bCs/>
          <w:color w:val="000000"/>
          <w:szCs w:val="21"/>
        </w:rPr>
      </w:pPr>
      <w:r>
        <w:rPr>
          <w:rFonts w:hint="eastAsia" w:ascii="宋体" w:hAnsi="宋体" w:cs="宋体"/>
          <w:b/>
          <w:bCs/>
          <w:color w:val="000000"/>
          <w:szCs w:val="21"/>
        </w:rPr>
        <w:t xml:space="preserve">（如营业执照等）</w:t>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p>
      <w:pPr>
        <w:ind w:firstLine="211"/>
        <w:spacing w:line="360" w:lineRule="auto"/>
        <w:rPr>
          <w:rFonts w:hint="eastAsia" w:ascii="宋体" w:hAnsi="宋体" w:cs="宋体"/>
          <w:b/>
          <w:bCs/>
          <w:color w:val="000000"/>
          <w:szCs w:val="21"/>
        </w:rPr>
      </w:pPr>
      <w:r>
        <w:rPr>
          <w:rFonts w:hint="eastAsia" w:ascii="宋体" w:hAnsi="宋体" w:cs="宋体"/>
          <w:b/>
          <w:bCs/>
          <w:color w:val="000000"/>
          <w:szCs w:val="21"/>
        </w:rPr>
      </w:r>
      <w:r/>
    </w:p>
    <w:p>
      <w:pPr>
        <w:spacing w:line="360" w:lineRule="auto"/>
        <w:rPr>
          <w:color w:val="000000"/>
          <w:sz w:val="24"/>
          <w:szCs w:val="20"/>
        </w:rPr>
      </w:pPr>
      <w:r>
        <w:rPr>
          <w:color w:val="000000"/>
          <w:sz w:val="24"/>
          <w:szCs w:val="20"/>
        </w:rPr>
      </w:r>
      <w:r/>
    </w:p>
    <w:p>
      <w:pPr>
        <w:spacing w:line="360" w:lineRule="auto"/>
        <w:rPr>
          <w:color w:val="000000"/>
          <w:sz w:val="24"/>
          <w:szCs w:val="20"/>
        </w:rPr>
      </w:pPr>
      <w:r>
        <w:rPr>
          <w:color w:val="000000"/>
          <w:sz w:val="24"/>
          <w:szCs w:val="20"/>
        </w:rPr>
      </w:r>
      <w:r/>
    </w:p>
    <w:sectPr>
      <w:headerReference w:type="default" r:id="rId9"/>
      <w:footerReference w:type="default" r:id="rId10"/>
      <w:footnotePr/>
      <w:endnotePr/>
      <w:type w:val="nextPage"/>
      <w:pgSz w:w="11907" w:h="16840" w:orient="portrait"/>
      <w:pgMar w:top="1418" w:right="1134" w:bottom="1134" w:left="1417" w:header="1020"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6"/>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left"/>
      <w:pBdr>
        <w:bottom w:val="single" w:color="auto"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2245" cy="184785"/>
              <wp:effectExtent l="0" t="0" r="8255" b="5715"/>
              <wp:docPr id="1" name="图片 2" descr="正投招标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正投招标图标"/>
                      <pic:cNvPicPr>
                        <a:picLocks noChangeAspect="1"/>
                      </pic:cNvPicPr>
                      <pic:nvPr/>
                    </pic:nvPicPr>
                    <pic:blipFill>
                      <a:blip r:embed="rId1"/>
                      <a:stretch/>
                    </pic:blipFill>
                    <pic:spPr bwMode="auto">
                      <a:xfrm rot="10800000" flipH="1" flipV="1">
                        <a:off x="0" y="0"/>
                        <a:ext cx="182245"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3pt;height:14.5pt;mso-wrap-distance-left:0.0pt;mso-wrap-distance-top:0.0pt;mso-wrap-distance-right:0.0pt;mso-wrap-distance-bottom:0.0pt;rotation:180;flip:xy;" stroked="f">
              <v:path textboxrect="0,0,0,0"/>
              <v:imagedata r:id="rId1" o:title=""/>
            </v:shape>
          </w:pict>
        </mc:Fallback>
      </mc:AlternateContent>
    </w:r>
    <w:r>
      <w:rPr>
        <w:rFonts w:hint="eastAsia" w:ascii="宋体" w:hAnsi="宋体" w:cs="宋体"/>
        <w:color w:val="000000"/>
        <w:spacing w:val="2"/>
      </w:rPr>
      <w:t xml:space="preserve">溧阳市正投招投标有限公司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1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2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
    <w:multiLevelType w:val="hybridMultilevel"/>
    <w:lvl w:ilvl="0">
      <w:start w:val="1"/>
      <w:numFmt w:val="decimal"/>
      <w:pStyle w:val="116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237"/>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EnclosedCircle"/>
      <w:isLgl w:val="false"/>
      <w:suff w:val="nothing"/>
      <w:lvlText w:val="%1"/>
      <w:lvlJc w:val="left"/>
      <w:pPr>
        <w:ind w:left="1260" w:hanging="420"/>
      </w:pPr>
      <w:rPr>
        <w:rFonts w:hint="eastAsia"/>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6">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nothing"/>
      <w:lvlText w:val="%1"/>
      <w:lvlJc w:val="left"/>
      <w:pPr>
        <w:ind w:left="1260" w:hanging="420"/>
      </w:pPr>
      <w:rPr>
        <w:rFonts w:hint="eastAsia"/>
        <w:color w:val="auto"/>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9">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EnclosedCircle"/>
      <w:isLgl w:val="false"/>
      <w:suff w:val="nothing"/>
      <w:lvlText w:val="%1"/>
      <w:lvlJc w:val="left"/>
      <w:pPr>
        <w:ind w:left="1260" w:hanging="420"/>
      </w:pPr>
      <w:rPr>
        <w:rFonts w:hint="eastAsia"/>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1"/>
      <w:numFmt w:val="bullet"/>
      <w:isLgl w:val="false"/>
      <w:suff w:val="nothing"/>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3">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sz w:val="21"/>
        <w:szCs w:val="21"/>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
      <w:isLgl w:val="false"/>
      <w:suff w:val="nothing"/>
      <w:lvlText w:val="%1"/>
      <w:lvlJc w:val="left"/>
      <w:pPr>
        <w:ind w:left="1260" w:hanging="420"/>
      </w:pPr>
      <w:rPr>
        <w:rFonts w:hint="eastAsia"/>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20">
    <w:multiLevelType w:val="hybridMultilevel"/>
    <w:lvl w:ilvl="0">
      <w:start w:val="1"/>
      <w:numFmt w:val="decimal"/>
      <w:pStyle w:val="115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2">
    <w:multiLevelType w:val="hybridMultilevel"/>
    <w:lvl w:ilvl="0">
      <w:start w:val="1"/>
      <w:numFmt w:val="decimal"/>
      <w:pStyle w:val="1162"/>
      <w:isLgl w:val="false"/>
      <w:suff w:val="tab"/>
      <w:lvlText w:val="%1"/>
      <w:lvlJc w:val="left"/>
      <w:pPr>
        <w:ind w:left="680" w:hanging="680"/>
      </w:pPr>
      <w:rPr>
        <w:rFonts w:hint="eastAsia" w:ascii="宋体" w:hAnsi="宋体" w:eastAsia="宋体"/>
      </w:rPr>
    </w:lvl>
    <w:lvl w:ilvl="1">
      <w:start w:val="1"/>
      <w:numFmt w:val="decimal"/>
      <w:pStyle w:val="1149"/>
      <w:isLgl w:val="false"/>
      <w:suff w:val="tab"/>
      <w:lvlText w:val="%1.%2"/>
      <w:lvlJc w:val="left"/>
      <w:pPr>
        <w:ind w:left="851" w:hanging="851"/>
      </w:pPr>
      <w:rPr>
        <w:rFonts w:hint="eastAsia" w:ascii="宋体" w:hAnsi="宋体" w:eastAsia="宋体"/>
        <w:color w:val="auto"/>
      </w:rPr>
    </w:lvl>
    <w:lvl w:ilvl="2">
      <w:start w:val="1"/>
      <w:numFmt w:val="decimal"/>
      <w:pStyle w:val="113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3">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EnclosedCircle"/>
      <w:isLgl w:val="false"/>
      <w:suff w:val="nothing"/>
      <w:lvlText w:val="%1"/>
      <w:lvlJc w:val="left"/>
      <w:pPr>
        <w:ind w:left="1260" w:hanging="420"/>
      </w:pPr>
      <w:rPr>
        <w:rFonts w:hint="eastAsia"/>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26">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
      <w:numFmt w:val="decimalEnclosedCircle"/>
      <w:isLgl w:val="false"/>
      <w:suff w:val="nothing"/>
      <w:lvlText w:val="%1"/>
      <w:lvlJc w:val="left"/>
      <w:pPr>
        <w:ind w:left="1260" w:hanging="420"/>
      </w:pPr>
      <w:rPr>
        <w:rFonts w:hint="eastAsia"/>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31">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2">
    <w:multiLevelType w:val="hybridMultilevel"/>
    <w:lvl w:ilvl="0">
      <w:start w:val="1"/>
      <w:numFmt w:val="decimalEnclosedCircle"/>
      <w:isLgl w:val="false"/>
      <w:suff w:val="nothing"/>
      <w:lvlText w:val="%1"/>
      <w:lvlJc w:val="left"/>
      <w:pPr>
        <w:ind w:left="1260" w:hanging="420"/>
      </w:pPr>
      <w:rPr>
        <w:rFonts w:hint="eastAsia"/>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33">
    <w:multiLevelType w:val="hybridMultilevel"/>
    <w:lvl w:ilvl="0">
      <w:start w:val="1"/>
      <w:numFmt w:val="lowerLetter"/>
      <w:pStyle w:val="122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4">
    <w:multiLevelType w:val="hybridMultilevel"/>
    <w:lvl w:ilvl="0">
      <w:start w:val="1"/>
      <w:numFmt w:val="decimal"/>
      <w:pStyle w:val="113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2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6">
    <w:multiLevelType w:val="hybridMultilevel"/>
    <w:lvl w:ilvl="0">
      <w:start w:val="1"/>
      <w:numFmt w:val="decimalEnclosedCircle"/>
      <w:isLgl w:val="false"/>
      <w:suff w:val="nothing"/>
      <w:lvlText w:val="%1"/>
      <w:lvlJc w:val="left"/>
      <w:pPr>
        <w:ind w:left="1200" w:hanging="360"/>
      </w:pPr>
      <w:rPr>
        <w:rFonts w:hint="eastAsia"/>
        <w:sz w:val="24"/>
        <w:szCs w:val="24"/>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37">
    <w:multiLevelType w:val="hybridMultilevel"/>
    <w:lvl w:ilvl="0">
      <w:start w:val="1"/>
      <w:numFmt w:val="decimalEnclosedCircle"/>
      <w:isLgl w:val="false"/>
      <w:suff w:val="nothing"/>
      <w:lvlText w:val="%1"/>
      <w:lvlJc w:val="left"/>
      <w:pPr>
        <w:ind w:left="1260" w:hanging="420"/>
      </w:pPr>
      <w:rPr>
        <w:rFonts w:hint="eastAsia"/>
      </w:rPr>
    </w:lvl>
    <w:lvl w:ilvl="1">
      <w:start w:val="1"/>
      <w:numFmt w:val="lowerLetter"/>
      <w:isLgl w:val="false"/>
      <w:suff w:val="tab"/>
      <w:lvlText w:val="%2)"/>
      <w:lvlJc w:val="left"/>
      <w:pPr>
        <w:ind w:left="1680" w:hanging="420"/>
      </w:pPr>
      <w:rPr>
        <w:rFonts w:hint="eastAsia"/>
      </w:rPr>
    </w:lvl>
    <w:lvl w:ilvl="2">
      <w:start w:val="1"/>
      <w:numFmt w:val="lowerRoman"/>
      <w:isLgl w:val="false"/>
      <w:suff w:val="tab"/>
      <w:lvlText w:val="%3."/>
      <w:lvlJc w:val="right"/>
      <w:pPr>
        <w:ind w:left="2100" w:hanging="420"/>
      </w:pPr>
      <w:rPr>
        <w:rFonts w:hint="eastAsia"/>
      </w:rPr>
    </w:lvl>
    <w:lvl w:ilvl="3">
      <w:start w:val="1"/>
      <w:numFmt w:val="decimal"/>
      <w:isLgl w:val="false"/>
      <w:suff w:val="tab"/>
      <w:lvlText w:val="%4."/>
      <w:lvlJc w:val="left"/>
      <w:pPr>
        <w:ind w:left="2520" w:hanging="420"/>
      </w:pPr>
      <w:rPr>
        <w:rFonts w:hint="eastAsia"/>
      </w:rPr>
    </w:lvl>
    <w:lvl w:ilvl="4">
      <w:start w:val="1"/>
      <w:numFmt w:val="lowerLetter"/>
      <w:isLgl w:val="false"/>
      <w:suff w:val="tab"/>
      <w:lvlText w:val="%5)"/>
      <w:lvlJc w:val="left"/>
      <w:pPr>
        <w:ind w:left="2940" w:hanging="420"/>
      </w:pPr>
      <w:rPr>
        <w:rFonts w:hint="eastAsia"/>
      </w:rPr>
    </w:lvl>
    <w:lvl w:ilvl="5">
      <w:start w:val="1"/>
      <w:numFmt w:val="lowerRoman"/>
      <w:isLgl w:val="false"/>
      <w:suff w:val="tab"/>
      <w:lvlText w:val="%6."/>
      <w:lvlJc w:val="right"/>
      <w:pPr>
        <w:ind w:left="3360" w:hanging="420"/>
      </w:pPr>
      <w:rPr>
        <w:rFonts w:hint="eastAsia"/>
      </w:rPr>
    </w:lvl>
    <w:lvl w:ilvl="6">
      <w:start w:val="1"/>
      <w:numFmt w:val="decimal"/>
      <w:isLgl w:val="false"/>
      <w:suff w:val="tab"/>
      <w:lvlText w:val="%7."/>
      <w:lvlJc w:val="left"/>
      <w:pPr>
        <w:ind w:left="3780" w:hanging="420"/>
      </w:pPr>
      <w:rPr>
        <w:rFonts w:hint="eastAsia"/>
      </w:rPr>
    </w:lvl>
    <w:lvl w:ilvl="7">
      <w:start w:val="1"/>
      <w:numFmt w:val="lowerLetter"/>
      <w:isLgl w:val="false"/>
      <w:suff w:val="tab"/>
      <w:lvlText w:val="%8)"/>
      <w:lvlJc w:val="left"/>
      <w:pPr>
        <w:ind w:left="4200" w:hanging="420"/>
      </w:pPr>
      <w:rPr>
        <w:rFonts w:hint="eastAsia"/>
      </w:rPr>
    </w:lvl>
    <w:lvl w:ilvl="8">
      <w:start w:val="1"/>
      <w:numFmt w:val="lowerRoman"/>
      <w:isLgl w:val="false"/>
      <w:suff w:val="tab"/>
      <w:lvlText w:val="%9."/>
      <w:lvlJc w:val="right"/>
      <w:pPr>
        <w:ind w:left="4620" w:hanging="420"/>
      </w:pPr>
      <w:rPr>
        <w:rFonts w:hint="eastAsia"/>
      </w:rPr>
    </w:lvl>
  </w:abstractNum>
  <w:abstractNum w:abstractNumId="3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0"/>
  </w:num>
  <w:num w:numId="2">
    <w:abstractNumId w:val="34"/>
  </w:num>
  <w:num w:numId="3">
    <w:abstractNumId w:val="22"/>
  </w:num>
  <w:num w:numId="4">
    <w:abstractNumId w:val="20"/>
  </w:num>
  <w:num w:numId="5">
    <w:abstractNumId w:val="1"/>
  </w:num>
  <w:num w:numId="6">
    <w:abstractNumId w:val="33"/>
  </w:num>
  <w:num w:numId="7">
    <w:abstractNumId w:val="21"/>
  </w:num>
  <w:num w:numId="8">
    <w:abstractNumId w:val="3"/>
  </w:num>
  <w:num w:numId="9">
    <w:abstractNumId w:val="16"/>
  </w:num>
  <w:num w:numId="10">
    <w:abstractNumId w:val="11"/>
  </w:num>
  <w:num w:numId="11">
    <w:abstractNumId w:val="38"/>
  </w:num>
  <w:num w:numId="12">
    <w:abstractNumId w:val="18"/>
  </w:num>
  <w:num w:numId="13">
    <w:abstractNumId w:val="12"/>
  </w:num>
  <w:num w:numId="14">
    <w:abstractNumId w:val="36"/>
  </w:num>
  <w:num w:numId="15">
    <w:abstractNumId w:val="37"/>
  </w:num>
  <w:num w:numId="16">
    <w:abstractNumId w:val="5"/>
  </w:num>
  <w:num w:numId="17">
    <w:abstractNumId w:val="30"/>
  </w:num>
  <w:num w:numId="18">
    <w:abstractNumId w:val="25"/>
  </w:num>
  <w:num w:numId="19">
    <w:abstractNumId w:val="8"/>
  </w:num>
  <w:num w:numId="20">
    <w:abstractNumId w:val="19"/>
  </w:num>
  <w:num w:numId="21">
    <w:abstractNumId w:val="10"/>
  </w:num>
  <w:num w:numId="22">
    <w:abstractNumId w:val="32"/>
  </w:num>
  <w:num w:numId="23">
    <w:abstractNumId w:val="27"/>
  </w:num>
  <w:num w:numId="24">
    <w:abstractNumId w:val="24"/>
  </w:num>
  <w:num w:numId="25">
    <w:abstractNumId w:val="28"/>
  </w:num>
  <w:num w:numId="26">
    <w:abstractNumId w:val="29"/>
  </w:num>
  <w:num w:numId="27">
    <w:abstractNumId w:val="17"/>
  </w:num>
  <w:num w:numId="28">
    <w:abstractNumId w:val="7"/>
  </w:num>
  <w:num w:numId="29">
    <w:abstractNumId w:val="35"/>
  </w:num>
  <w:num w:numId="30">
    <w:abstractNumId w:val="31"/>
  </w:num>
  <w:num w:numId="31">
    <w:abstractNumId w:val="2"/>
  </w:num>
  <w:num w:numId="32">
    <w:abstractNumId w:val="6"/>
  </w:num>
  <w:num w:numId="33">
    <w:abstractNumId w:val="15"/>
  </w:num>
  <w:num w:numId="34">
    <w:abstractNumId w:val="13"/>
  </w:num>
  <w:num w:numId="35">
    <w:abstractNumId w:val="14"/>
  </w:num>
  <w:num w:numId="36">
    <w:abstractNumId w:val="9"/>
  </w:num>
  <w:num w:numId="37">
    <w:abstractNumId w:val="4"/>
  </w:num>
  <w:num w:numId="38">
    <w:abstractNumId w:val="23"/>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Subtitle Char"/>
    <w:basedOn w:val="812"/>
    <w:link w:val="840"/>
    <w:uiPriority w:val="11"/>
    <w:rPr>
      <w:sz w:val="24"/>
      <w:szCs w:val="24"/>
    </w:rPr>
  </w:style>
  <w:style w:type="character" w:styleId="778">
    <w:name w:val="Quote Char"/>
    <w:link w:val="877"/>
    <w:uiPriority w:val="29"/>
    <w:rPr>
      <w:i/>
    </w:rPr>
  </w:style>
  <w:style w:type="character" w:styleId="779">
    <w:name w:val="Intense Quote Char"/>
    <w:link w:val="879"/>
    <w:uiPriority w:val="30"/>
    <w:rPr>
      <w:i/>
    </w:rPr>
  </w:style>
  <w:style w:type="table" w:styleId="780">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9">
    <w:name w:val="Footnote Text Char"/>
    <w:link w:val="841"/>
    <w:uiPriority w:val="99"/>
    <w:rPr>
      <w:sz w:val="18"/>
    </w:rPr>
  </w:style>
  <w:style w:type="character" w:styleId="800">
    <w:name w:val="Endnote Text Char"/>
    <w:link w:val="834"/>
    <w:uiPriority w:val="99"/>
    <w:rPr>
      <w:sz w:val="20"/>
    </w:rPr>
  </w:style>
  <w:style w:type="paragraph" w:styleId="801">
    <w:name w:val="TOC Heading"/>
    <w:uiPriority w:val="39"/>
    <w:unhideWhenUsed/>
  </w:style>
  <w:style w:type="paragraph" w:styleId="8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1014"/>
    <w:uiPriority w:val="0"/>
    <w:qFormat/>
    <w:pPr>
      <w:jc w:val="center"/>
      <w:keepLines/>
      <w:keepNext/>
      <w:spacing w:before="240" w:after="120" w:line="300" w:lineRule="auto"/>
      <w:outlineLvl w:val="0"/>
    </w:pPr>
    <w:rPr>
      <w:rFonts w:ascii="宋体"/>
      <w:b/>
      <w:sz w:val="32"/>
      <w:szCs w:val="20"/>
    </w:rPr>
  </w:style>
  <w:style w:type="paragraph" w:styleId="804">
    <w:name w:val="Heading 2"/>
    <w:basedOn w:val="802"/>
    <w:next w:val="814"/>
    <w:link w:val="1024"/>
    <w:uiPriority w:val="0"/>
    <w:qFormat/>
    <w:pPr>
      <w:jc w:val="center"/>
      <w:keepLines/>
      <w:keepNext/>
      <w:spacing w:before="120" w:line="300" w:lineRule="auto"/>
      <w:outlineLvl w:val="1"/>
    </w:pPr>
    <w:rPr>
      <w:rFonts w:ascii="Arial" w:hAnsi="Arial" w:eastAsia="黑体"/>
      <w:b/>
      <w:sz w:val="30"/>
      <w:szCs w:val="20"/>
    </w:rPr>
  </w:style>
  <w:style w:type="paragraph" w:styleId="805">
    <w:name w:val="Heading 3"/>
    <w:basedOn w:val="802"/>
    <w:next w:val="802"/>
    <w:link w:val="1025"/>
    <w:uiPriority w:val="0"/>
    <w:qFormat/>
    <w:pPr>
      <w:jc w:val="left"/>
      <w:keepLines/>
      <w:keepNext/>
      <w:spacing w:before="360" w:after="120"/>
      <w:outlineLvl w:val="2"/>
    </w:pPr>
    <w:rPr>
      <w:rFonts w:ascii="宋体"/>
      <w:b/>
      <w:sz w:val="24"/>
      <w:szCs w:val="20"/>
      <w:u w:val="single"/>
    </w:rPr>
  </w:style>
  <w:style w:type="paragraph" w:styleId="806">
    <w:name w:val="Heading 4"/>
    <w:basedOn w:val="802"/>
    <w:next w:val="815"/>
    <w:link w:val="1026"/>
    <w:uiPriority w:val="0"/>
    <w:qFormat/>
    <w:pPr>
      <w:keepLines/>
      <w:keepNext/>
      <w:spacing w:before="280" w:after="290" w:line="376" w:lineRule="atLeast"/>
      <w:outlineLvl w:val="3"/>
    </w:pPr>
    <w:rPr>
      <w:rFonts w:ascii="Arial" w:hAnsi="Arial" w:eastAsia="黑体"/>
      <w:b/>
      <w:sz w:val="28"/>
      <w:szCs w:val="20"/>
    </w:rPr>
  </w:style>
  <w:style w:type="paragraph" w:styleId="807">
    <w:name w:val="Heading 5"/>
    <w:basedOn w:val="802"/>
    <w:next w:val="802"/>
    <w:link w:val="1027"/>
    <w:uiPriority w:val="0"/>
    <w:qFormat/>
    <w:pPr>
      <w:keepLines/>
      <w:keepNext/>
      <w:spacing w:before="280" w:after="290" w:line="376" w:lineRule="atLeast"/>
      <w:outlineLvl w:val="4"/>
    </w:pPr>
    <w:rPr>
      <w:b/>
      <w:sz w:val="28"/>
      <w:szCs w:val="20"/>
    </w:rPr>
  </w:style>
  <w:style w:type="paragraph" w:styleId="808">
    <w:name w:val="Heading 6"/>
    <w:basedOn w:val="802"/>
    <w:next w:val="802"/>
    <w:link w:val="1028"/>
    <w:uiPriority w:val="0"/>
    <w:qFormat/>
    <w:pPr>
      <w:keepLines/>
      <w:keepNext/>
      <w:spacing w:before="240" w:after="64" w:line="320" w:lineRule="atLeast"/>
      <w:outlineLvl w:val="5"/>
    </w:pPr>
    <w:rPr>
      <w:rFonts w:ascii="Arial" w:hAnsi="Arial" w:eastAsia="黑体"/>
      <w:b/>
      <w:sz w:val="24"/>
      <w:szCs w:val="20"/>
    </w:rPr>
  </w:style>
  <w:style w:type="paragraph" w:styleId="809">
    <w:name w:val="Heading 7"/>
    <w:basedOn w:val="802"/>
    <w:next w:val="802"/>
    <w:link w:val="1029"/>
    <w:uiPriority w:val="0"/>
    <w:qFormat/>
    <w:pPr>
      <w:keepLines/>
      <w:keepNext/>
      <w:spacing w:before="240" w:after="64" w:line="320" w:lineRule="atLeast"/>
      <w:outlineLvl w:val="6"/>
    </w:pPr>
    <w:rPr>
      <w:b/>
      <w:sz w:val="24"/>
      <w:szCs w:val="20"/>
    </w:rPr>
  </w:style>
  <w:style w:type="paragraph" w:styleId="810">
    <w:name w:val="Heading 8"/>
    <w:basedOn w:val="802"/>
    <w:next w:val="802"/>
    <w:link w:val="1030"/>
    <w:uiPriority w:val="0"/>
    <w:qFormat/>
    <w:pPr>
      <w:keepLines/>
      <w:keepNext/>
      <w:spacing w:before="240" w:after="64" w:line="320" w:lineRule="atLeast"/>
      <w:outlineLvl w:val="7"/>
    </w:pPr>
    <w:rPr>
      <w:rFonts w:ascii="Arial" w:hAnsi="Arial" w:eastAsia="黑体"/>
      <w:sz w:val="24"/>
      <w:szCs w:val="20"/>
    </w:rPr>
  </w:style>
  <w:style w:type="paragraph" w:styleId="811">
    <w:name w:val="Heading 9"/>
    <w:basedOn w:val="802"/>
    <w:next w:val="802"/>
    <w:link w:val="1031"/>
    <w:uiPriority w:val="0"/>
    <w:qFormat/>
    <w:pPr>
      <w:keepLines/>
      <w:keepNext/>
      <w:spacing w:before="240" w:after="64" w:line="320" w:lineRule="atLeast"/>
      <w:outlineLvl w:val="8"/>
    </w:pPr>
    <w:rPr>
      <w:rFonts w:ascii="Arial" w:hAnsi="Arial" w:eastAsia="黑体"/>
      <w:szCs w:val="20"/>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customStyle="1">
    <w:name w:val="Í¼±íÕýÎÄ"/>
    <w:basedOn w:val="802"/>
    <w:next w:val="815"/>
    <w:uiPriority w:val="0"/>
    <w:qFormat/>
    <w:pPr>
      <w:ind w:firstLine="420"/>
    </w:pPr>
    <w:rPr>
      <w:sz w:val="24"/>
    </w:rPr>
  </w:style>
  <w:style w:type="paragraph" w:styleId="815">
    <w:name w:val="Normal Indent"/>
    <w:basedOn w:val="802"/>
    <w:link w:val="1032"/>
    <w:uiPriority w:val="0"/>
    <w:qFormat/>
    <w:pPr>
      <w:ind w:firstLine="420"/>
      <w:jc w:val="left"/>
    </w:pPr>
    <w:rPr>
      <w:rFonts w:ascii="宋体"/>
      <w:sz w:val="24"/>
    </w:rPr>
  </w:style>
  <w:style w:type="paragraph" w:styleId="816">
    <w:name w:val="toc 7"/>
    <w:basedOn w:val="802"/>
    <w:next w:val="802"/>
    <w:uiPriority w:val="0"/>
    <w:qFormat/>
    <w:pPr>
      <w:ind w:left="2520"/>
    </w:pPr>
  </w:style>
  <w:style w:type="paragraph" w:styleId="817">
    <w:name w:val="Caption"/>
    <w:basedOn w:val="802"/>
    <w:next w:val="802"/>
    <w:uiPriority w:val="0"/>
    <w:qFormat/>
    <w:pPr>
      <w:spacing w:line="480" w:lineRule="auto"/>
    </w:pPr>
    <w:rPr>
      <w:rFonts w:ascii="华文中宋" w:hAnsi="华文中宋" w:eastAsia="华文中宋"/>
      <w:sz w:val="36"/>
      <w:szCs w:val="20"/>
    </w:rPr>
  </w:style>
  <w:style w:type="paragraph" w:styleId="818">
    <w:name w:val="Document Map"/>
    <w:basedOn w:val="802"/>
    <w:link w:val="1033"/>
    <w:uiPriority w:val="0"/>
    <w:qFormat/>
    <w:pPr>
      <w:shd w:val="clear" w:color="auto" w:fill="000080"/>
    </w:pPr>
  </w:style>
  <w:style w:type="paragraph" w:styleId="819">
    <w:name w:val="annotation text"/>
    <w:basedOn w:val="802"/>
    <w:link w:val="1034"/>
    <w:uiPriority w:val="99"/>
    <w:qFormat/>
    <w:pPr>
      <w:jc w:val="left"/>
    </w:pPr>
  </w:style>
  <w:style w:type="paragraph" w:styleId="820">
    <w:name w:val="Body Text 3"/>
    <w:basedOn w:val="802"/>
    <w:link w:val="1035"/>
    <w:uiPriority w:val="0"/>
    <w:qFormat/>
    <w:pPr>
      <w:spacing w:after="120"/>
    </w:pPr>
    <w:rPr>
      <w:sz w:val="16"/>
      <w:szCs w:val="16"/>
    </w:rPr>
  </w:style>
  <w:style w:type="paragraph" w:styleId="821">
    <w:name w:val="Body Text"/>
    <w:basedOn w:val="802"/>
    <w:next w:val="822"/>
    <w:link w:val="1036"/>
    <w:uiPriority w:val="0"/>
    <w:qFormat/>
    <w:pPr>
      <w:spacing w:before="120" w:line="22" w:lineRule="atLeast"/>
      <w:tabs>
        <w:tab w:val="left" w:pos="567" w:leader="none"/>
      </w:tabs>
    </w:pPr>
    <w:rPr>
      <w:rFonts w:ascii="宋体" w:hAnsi="宋体"/>
      <w:sz w:val="24"/>
    </w:rPr>
  </w:style>
  <w:style w:type="paragraph" w:styleId="822" w:customStyle="1">
    <w:name w:val="样式4"/>
    <w:basedOn w:val="802"/>
    <w:uiPriority w:val="0"/>
    <w:qFormat/>
    <w:rPr>
      <w:sz w:val="24"/>
    </w:rPr>
  </w:style>
  <w:style w:type="paragraph" w:styleId="823">
    <w:name w:val="Body Text Indent"/>
    <w:basedOn w:val="802"/>
    <w:next w:val="824"/>
    <w:link w:val="1023"/>
    <w:uiPriority w:val="0"/>
    <w:qFormat/>
    <w:pPr>
      <w:ind w:firstLine="570"/>
      <w:spacing w:line="360" w:lineRule="auto"/>
    </w:pPr>
    <w:rPr>
      <w:sz w:val="24"/>
    </w:rPr>
  </w:style>
  <w:style w:type="paragraph" w:styleId="824">
    <w:name w:val="envelope return"/>
    <w:basedOn w:val="802"/>
    <w:uiPriority w:val="99"/>
    <w:unhideWhenUsed/>
    <w:qFormat/>
    <w:rPr>
      <w:rFonts w:ascii="Arial" w:hAnsi="Arial"/>
    </w:rPr>
  </w:style>
  <w:style w:type="paragraph" w:styleId="825">
    <w:name w:val="List 2"/>
    <w:basedOn w:val="802"/>
    <w:uiPriority w:val="0"/>
    <w:qFormat/>
    <w:pPr>
      <w:ind w:left="100" w:hanging="200"/>
    </w:pPr>
  </w:style>
  <w:style w:type="paragraph" w:styleId="826">
    <w:name w:val="Block Text"/>
    <w:basedOn w:val="802"/>
    <w:uiPriority w:val="0"/>
    <w:qFormat/>
    <w:pPr>
      <w:ind w:left="480" w:right="-341" w:firstLine="513"/>
      <w:widowControl/>
    </w:pPr>
    <w:rPr>
      <w:sz w:val="24"/>
      <w:szCs w:val="20"/>
    </w:rPr>
  </w:style>
  <w:style w:type="paragraph" w:styleId="827">
    <w:name w:val="index 4"/>
    <w:basedOn w:val="802"/>
    <w:next w:val="802"/>
    <w:uiPriority w:val="0"/>
    <w:qFormat/>
    <w:pPr>
      <w:ind w:left="600"/>
    </w:pPr>
    <w:rPr>
      <w:rFonts w:ascii="Calibri" w:hAnsi="Calibri"/>
      <w:szCs w:val="22"/>
    </w:rPr>
  </w:style>
  <w:style w:type="paragraph" w:styleId="828">
    <w:name w:val="toc 5"/>
    <w:basedOn w:val="802"/>
    <w:next w:val="802"/>
    <w:uiPriority w:val="0"/>
    <w:qFormat/>
    <w:pPr>
      <w:ind w:left="1680"/>
    </w:pPr>
  </w:style>
  <w:style w:type="paragraph" w:styleId="829">
    <w:name w:val="toc 3"/>
    <w:basedOn w:val="802"/>
    <w:next w:val="802"/>
    <w:uiPriority w:val="39"/>
    <w:qFormat/>
    <w:pPr>
      <w:ind w:left="840"/>
    </w:pPr>
  </w:style>
  <w:style w:type="paragraph" w:styleId="830">
    <w:name w:val="Plain Text"/>
    <w:basedOn w:val="802"/>
    <w:next w:val="815"/>
    <w:link w:val="1037"/>
    <w:uiPriority w:val="0"/>
    <w:qFormat/>
    <w:rPr>
      <w:rFonts w:hint="eastAsia" w:ascii="宋体" w:hAnsi="Courier New"/>
      <w:szCs w:val="20"/>
    </w:rPr>
  </w:style>
  <w:style w:type="paragraph" w:styleId="831">
    <w:name w:val="toc 8"/>
    <w:basedOn w:val="802"/>
    <w:next w:val="802"/>
    <w:uiPriority w:val="0"/>
    <w:qFormat/>
    <w:pPr>
      <w:ind w:left="2940"/>
    </w:pPr>
  </w:style>
  <w:style w:type="paragraph" w:styleId="832">
    <w:name w:val="Date"/>
    <w:basedOn w:val="802"/>
    <w:next w:val="802"/>
    <w:link w:val="1038"/>
    <w:uiPriority w:val="0"/>
    <w:qFormat/>
    <w:pPr>
      <w:ind w:left="100"/>
    </w:pPr>
    <w:rPr>
      <w:rFonts w:ascii="仿宋_GB2312" w:hAnsi="宋体" w:eastAsia="仿宋_GB2312"/>
      <w:color w:val="000000"/>
      <w:sz w:val="24"/>
    </w:rPr>
  </w:style>
  <w:style w:type="paragraph" w:styleId="833">
    <w:name w:val="Body Text Indent 2"/>
    <w:basedOn w:val="802"/>
    <w:link w:val="1039"/>
    <w:uiPriority w:val="0"/>
    <w:qFormat/>
    <w:pPr>
      <w:ind w:firstLine="480"/>
    </w:pPr>
    <w:rPr>
      <w:rFonts w:ascii="仿宋_GB2312" w:eastAsia="仿宋_GB2312"/>
      <w:sz w:val="24"/>
    </w:rPr>
  </w:style>
  <w:style w:type="paragraph" w:styleId="834">
    <w:name w:val="endnote text"/>
    <w:basedOn w:val="802"/>
    <w:link w:val="1010"/>
    <w:uiPriority w:val="99"/>
    <w:semiHidden/>
    <w:unhideWhenUsed/>
    <w:qFormat/>
    <w:rPr>
      <w:sz w:val="20"/>
    </w:rPr>
  </w:style>
  <w:style w:type="paragraph" w:styleId="835">
    <w:name w:val="Balloon Text"/>
    <w:basedOn w:val="802"/>
    <w:link w:val="1040"/>
    <w:uiPriority w:val="0"/>
    <w:qFormat/>
    <w:rPr>
      <w:sz w:val="18"/>
      <w:szCs w:val="18"/>
    </w:rPr>
  </w:style>
  <w:style w:type="paragraph" w:styleId="836">
    <w:name w:val="Footer"/>
    <w:basedOn w:val="802"/>
    <w:link w:val="1041"/>
    <w:uiPriority w:val="99"/>
    <w:qFormat/>
    <w:pPr>
      <w:jc w:val="left"/>
      <w:tabs>
        <w:tab w:val="center" w:pos="4153" w:leader="none"/>
        <w:tab w:val="right" w:pos="8306" w:leader="none"/>
      </w:tabs>
    </w:pPr>
    <w:rPr>
      <w:rFonts w:ascii="宋体"/>
      <w:sz w:val="18"/>
      <w:szCs w:val="20"/>
    </w:rPr>
  </w:style>
  <w:style w:type="paragraph" w:styleId="837">
    <w:name w:val="Header"/>
    <w:basedOn w:val="802"/>
    <w:link w:val="1042"/>
    <w:uiPriority w:val="0"/>
    <w:qFormat/>
    <w:pPr>
      <w:jc w:val="center"/>
      <w:tabs>
        <w:tab w:val="center" w:pos="4153" w:leader="none"/>
        <w:tab w:val="right" w:pos="8306" w:leader="none"/>
      </w:tabs>
      <w:pBdr>
        <w:bottom w:val="single" w:color="auto" w:sz="6" w:space="1"/>
      </w:pBdr>
    </w:pPr>
    <w:rPr>
      <w:sz w:val="18"/>
      <w:szCs w:val="18"/>
    </w:rPr>
  </w:style>
  <w:style w:type="paragraph" w:styleId="838">
    <w:name w:val="toc 1"/>
    <w:basedOn w:val="802"/>
    <w:next w:val="802"/>
    <w:uiPriority w:val="39"/>
    <w:qFormat/>
    <w:pPr>
      <w:spacing w:line="300" w:lineRule="auto"/>
      <w:tabs>
        <w:tab w:val="left" w:pos="1050" w:leader="none"/>
        <w:tab w:val="right" w:pos="8937" w:leader="dot"/>
      </w:tabs>
    </w:pPr>
    <w:rPr>
      <w:rFonts w:ascii="宋体" w:hAnsi="宋体"/>
      <w:b/>
      <w:sz w:val="24"/>
    </w:rPr>
  </w:style>
  <w:style w:type="paragraph" w:styleId="839">
    <w:name w:val="toc 4"/>
    <w:basedOn w:val="802"/>
    <w:next w:val="802"/>
    <w:uiPriority w:val="0"/>
    <w:qFormat/>
    <w:pPr>
      <w:ind w:left="1260"/>
    </w:pPr>
  </w:style>
  <w:style w:type="paragraph" w:styleId="840">
    <w:name w:val="Subtitle"/>
    <w:basedOn w:val="802"/>
    <w:next w:val="802"/>
    <w:link w:val="876"/>
    <w:uiPriority w:val="11"/>
    <w:qFormat/>
    <w:pPr>
      <w:spacing w:before="200" w:after="200"/>
    </w:pPr>
    <w:rPr>
      <w:sz w:val="24"/>
    </w:rPr>
  </w:style>
  <w:style w:type="paragraph" w:styleId="841">
    <w:name w:val="footnote text"/>
    <w:basedOn w:val="802"/>
    <w:link w:val="1009"/>
    <w:uiPriority w:val="99"/>
    <w:semiHidden/>
    <w:unhideWhenUsed/>
    <w:qFormat/>
    <w:pPr>
      <w:spacing w:after="40"/>
    </w:pPr>
    <w:rPr>
      <w:sz w:val="18"/>
    </w:rPr>
  </w:style>
  <w:style w:type="paragraph" w:styleId="842">
    <w:name w:val="toc 6"/>
    <w:basedOn w:val="802"/>
    <w:next w:val="802"/>
    <w:uiPriority w:val="0"/>
    <w:qFormat/>
    <w:pPr>
      <w:ind w:left="2100"/>
    </w:pPr>
  </w:style>
  <w:style w:type="paragraph" w:styleId="843">
    <w:name w:val="Body Text Indent 3"/>
    <w:basedOn w:val="802"/>
    <w:link w:val="1043"/>
    <w:uiPriority w:val="0"/>
    <w:qFormat/>
    <w:pPr>
      <w:ind w:left="720" w:firstLine="480"/>
      <w:jc w:val="left"/>
      <w:spacing w:before="120" w:line="22" w:lineRule="atLeast"/>
    </w:pPr>
    <w:rPr>
      <w:rFonts w:ascii="宋体"/>
      <w:sz w:val="24"/>
      <w:szCs w:val="20"/>
    </w:rPr>
  </w:style>
  <w:style w:type="paragraph" w:styleId="844">
    <w:name w:val="table of figures"/>
    <w:basedOn w:val="802"/>
    <w:next w:val="802"/>
    <w:uiPriority w:val="99"/>
    <w:unhideWhenUsed/>
    <w:qFormat/>
  </w:style>
  <w:style w:type="paragraph" w:styleId="845">
    <w:name w:val="toc 2"/>
    <w:basedOn w:val="802"/>
    <w:next w:val="802"/>
    <w:uiPriority w:val="39"/>
    <w:qFormat/>
    <w:pPr>
      <w:ind w:left="420"/>
      <w:spacing w:line="312" w:lineRule="auto"/>
      <w:tabs>
        <w:tab w:val="right" w:pos="8937" w:leader="dot"/>
      </w:tabs>
    </w:pPr>
  </w:style>
  <w:style w:type="paragraph" w:styleId="846">
    <w:name w:val="toc 9"/>
    <w:basedOn w:val="802"/>
    <w:next w:val="802"/>
    <w:uiPriority w:val="0"/>
    <w:qFormat/>
    <w:pPr>
      <w:ind w:left="3360"/>
    </w:pPr>
  </w:style>
  <w:style w:type="paragraph" w:styleId="847">
    <w:name w:val="HTML Preformatted"/>
    <w:basedOn w:val="802"/>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48">
    <w:name w:val="Normal (Web)"/>
    <w:basedOn w:val="802"/>
    <w:uiPriority w:val="99"/>
    <w:unhideWhenUsed/>
    <w:qFormat/>
    <w:pPr>
      <w:jc w:val="left"/>
      <w:spacing w:before="100" w:beforeAutospacing="1" w:after="100" w:afterAutospacing="1"/>
      <w:widowControl/>
    </w:pPr>
    <w:rPr>
      <w:rFonts w:ascii="宋体" w:hAnsi="宋体" w:cs="宋体"/>
      <w:sz w:val="24"/>
    </w:rPr>
  </w:style>
  <w:style w:type="paragraph" w:styleId="849">
    <w:name w:val="index 1"/>
    <w:basedOn w:val="802"/>
    <w:next w:val="802"/>
    <w:uiPriority w:val="0"/>
    <w:qFormat/>
    <w:rPr>
      <w:szCs w:val="20"/>
    </w:rPr>
  </w:style>
  <w:style w:type="paragraph" w:styleId="850">
    <w:name w:val="Title"/>
    <w:basedOn w:val="802"/>
    <w:link w:val="1045"/>
    <w:uiPriority w:val="0"/>
    <w:qFormat/>
    <w:pPr>
      <w:jc w:val="center"/>
      <w:outlineLvl w:val="0"/>
    </w:pPr>
    <w:rPr>
      <w:b/>
      <w:sz w:val="32"/>
      <w:szCs w:val="20"/>
    </w:rPr>
  </w:style>
  <w:style w:type="paragraph" w:styleId="851">
    <w:name w:val="annotation subject"/>
    <w:basedOn w:val="819"/>
    <w:next w:val="819"/>
    <w:link w:val="1046"/>
    <w:uiPriority w:val="0"/>
    <w:qFormat/>
    <w:rPr>
      <w:b/>
      <w:bCs/>
    </w:rPr>
  </w:style>
  <w:style w:type="paragraph" w:styleId="852">
    <w:name w:val="Body Text First Indent"/>
    <w:basedOn w:val="821"/>
    <w:uiPriority w:val="0"/>
    <w:qFormat/>
    <w:pPr>
      <w:ind w:firstLine="420"/>
    </w:pPr>
  </w:style>
  <w:style w:type="paragraph" w:styleId="853">
    <w:name w:val="Body Text First Indent 2"/>
    <w:basedOn w:val="823"/>
    <w:next w:val="802"/>
    <w:link w:val="1047"/>
    <w:uiPriority w:val="0"/>
    <w:qFormat/>
    <w:pPr>
      <w:ind w:left="420" w:firstLine="420"/>
      <w:spacing w:after="120" w:line="480" w:lineRule="exact"/>
    </w:pPr>
    <w:rPr>
      <w:szCs w:val="20"/>
    </w:rPr>
  </w:style>
  <w:style w:type="table" w:styleId="854">
    <w:name w:val="Table Grid"/>
    <w:basedOn w:val="8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5">
    <w:name w:val="Medium Grid 1 Accent 2"/>
    <w:basedOn w:val="813"/>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6">
    <w:name w:val="Strong"/>
    <w:uiPriority w:val="0"/>
    <w:qFormat/>
    <w:rPr>
      <w:b/>
      <w:bCs/>
    </w:rPr>
  </w:style>
  <w:style w:type="character" w:styleId="857">
    <w:name w:val="endnote reference"/>
    <w:basedOn w:val="812"/>
    <w:uiPriority w:val="99"/>
    <w:semiHidden/>
    <w:unhideWhenUsed/>
    <w:qFormat/>
    <w:rPr>
      <w:vertAlign w:val="superscript"/>
    </w:rPr>
  </w:style>
  <w:style w:type="character" w:styleId="858">
    <w:name w:val="page number"/>
    <w:basedOn w:val="812"/>
    <w:uiPriority w:val="0"/>
    <w:qFormat/>
  </w:style>
  <w:style w:type="character" w:styleId="859">
    <w:name w:val="FollowedHyperlink"/>
    <w:uiPriority w:val="0"/>
    <w:qFormat/>
    <w:rPr>
      <w:color w:val="800080"/>
      <w:u w:val="single"/>
    </w:rPr>
  </w:style>
  <w:style w:type="character" w:styleId="860">
    <w:name w:val="Emphasis"/>
    <w:uiPriority w:val="0"/>
    <w:qFormat/>
    <w:rPr>
      <w:color w:val="cc0033"/>
    </w:rPr>
  </w:style>
  <w:style w:type="character" w:styleId="861">
    <w:name w:val="Hyperlink"/>
    <w:uiPriority w:val="99"/>
    <w:qFormat/>
    <w:rPr>
      <w:color w:val="0000ff"/>
      <w:u w:val="single"/>
    </w:rPr>
  </w:style>
  <w:style w:type="character" w:styleId="862">
    <w:name w:val="annotation reference"/>
    <w:uiPriority w:val="99"/>
    <w:qFormat/>
    <w:rPr>
      <w:sz w:val="21"/>
      <w:szCs w:val="21"/>
    </w:rPr>
  </w:style>
  <w:style w:type="character" w:styleId="863">
    <w:name w:val="HTML Cite"/>
    <w:uiPriority w:val="0"/>
    <w:qFormat/>
    <w:rPr>
      <w:i/>
      <w:iCs/>
    </w:rPr>
  </w:style>
  <w:style w:type="character" w:styleId="864">
    <w:name w:val="footnote reference"/>
    <w:basedOn w:val="812"/>
    <w:uiPriority w:val="99"/>
    <w:unhideWhenUsed/>
    <w:qFormat/>
    <w:rPr>
      <w:vertAlign w:val="superscript"/>
    </w:rPr>
  </w:style>
  <w:style w:type="character" w:styleId="865" w:customStyle="1">
    <w:name w:val="Heading 1 Char"/>
    <w:basedOn w:val="812"/>
    <w:uiPriority w:val="9"/>
    <w:qFormat/>
    <w:rPr>
      <w:rFonts w:ascii="Arial" w:hAnsi="Arial" w:eastAsia="Arial" w:cs="Arial"/>
      <w:sz w:val="40"/>
      <w:szCs w:val="40"/>
    </w:rPr>
  </w:style>
  <w:style w:type="character" w:styleId="866" w:customStyle="1">
    <w:name w:val="Heading 2 Char"/>
    <w:basedOn w:val="812"/>
    <w:uiPriority w:val="9"/>
    <w:qFormat/>
    <w:rPr>
      <w:rFonts w:ascii="Arial" w:hAnsi="Arial" w:eastAsia="Arial" w:cs="Arial"/>
      <w:sz w:val="34"/>
    </w:rPr>
  </w:style>
  <w:style w:type="character" w:styleId="867" w:customStyle="1">
    <w:name w:val="Heading 3 Char"/>
    <w:basedOn w:val="812"/>
    <w:uiPriority w:val="9"/>
    <w:qFormat/>
    <w:rPr>
      <w:rFonts w:ascii="Arial" w:hAnsi="Arial" w:eastAsia="Arial" w:cs="Arial"/>
      <w:sz w:val="30"/>
      <w:szCs w:val="30"/>
    </w:rPr>
  </w:style>
  <w:style w:type="character" w:styleId="868" w:customStyle="1">
    <w:name w:val="Heading 4 Char"/>
    <w:basedOn w:val="812"/>
    <w:uiPriority w:val="9"/>
    <w:qFormat/>
    <w:rPr>
      <w:rFonts w:ascii="Arial" w:hAnsi="Arial" w:eastAsia="Arial" w:cs="Arial"/>
      <w:b/>
      <w:bCs/>
      <w:sz w:val="26"/>
      <w:szCs w:val="26"/>
    </w:rPr>
  </w:style>
  <w:style w:type="character" w:styleId="869" w:customStyle="1">
    <w:name w:val="Heading 5 Char"/>
    <w:basedOn w:val="812"/>
    <w:uiPriority w:val="9"/>
    <w:qFormat/>
    <w:rPr>
      <w:rFonts w:ascii="Arial" w:hAnsi="Arial" w:eastAsia="Arial" w:cs="Arial"/>
      <w:b/>
      <w:bCs/>
      <w:sz w:val="24"/>
      <w:szCs w:val="24"/>
    </w:rPr>
  </w:style>
  <w:style w:type="character" w:styleId="870" w:customStyle="1">
    <w:name w:val="Heading 6 Char"/>
    <w:basedOn w:val="812"/>
    <w:uiPriority w:val="9"/>
    <w:qFormat/>
    <w:rPr>
      <w:rFonts w:ascii="Arial" w:hAnsi="Arial" w:eastAsia="Arial" w:cs="Arial"/>
      <w:b/>
      <w:bCs/>
      <w:sz w:val="22"/>
      <w:szCs w:val="22"/>
    </w:rPr>
  </w:style>
  <w:style w:type="character" w:styleId="871" w:customStyle="1">
    <w:name w:val="Heading 7 Char"/>
    <w:basedOn w:val="812"/>
    <w:uiPriority w:val="9"/>
    <w:qFormat/>
    <w:rPr>
      <w:rFonts w:ascii="Arial" w:hAnsi="Arial" w:eastAsia="Arial" w:cs="Arial"/>
      <w:b/>
      <w:bCs/>
      <w:i/>
      <w:iCs/>
      <w:sz w:val="22"/>
      <w:szCs w:val="22"/>
    </w:rPr>
  </w:style>
  <w:style w:type="character" w:styleId="872" w:customStyle="1">
    <w:name w:val="Heading 8 Char"/>
    <w:basedOn w:val="812"/>
    <w:uiPriority w:val="9"/>
    <w:qFormat/>
    <w:rPr>
      <w:rFonts w:ascii="Arial" w:hAnsi="Arial" w:eastAsia="Arial" w:cs="Arial"/>
      <w:i/>
      <w:iCs/>
      <w:sz w:val="22"/>
      <w:szCs w:val="22"/>
    </w:rPr>
  </w:style>
  <w:style w:type="character" w:styleId="873" w:customStyle="1">
    <w:name w:val="Heading 9 Char"/>
    <w:basedOn w:val="812"/>
    <w:uiPriority w:val="9"/>
    <w:qFormat/>
    <w:rPr>
      <w:rFonts w:ascii="Arial" w:hAnsi="Arial" w:eastAsia="Arial" w:cs="Arial"/>
      <w:i/>
      <w:iCs/>
      <w:sz w:val="21"/>
      <w:szCs w:val="21"/>
    </w:rPr>
  </w:style>
  <w:style w:type="paragraph" w:styleId="874">
    <w:name w:val="No Spacing"/>
    <w:uiPriority w:val="1"/>
    <w:qFormat/>
    <w:rPr>
      <w:rFonts w:ascii="Times New Roman" w:hAnsi="Times New Roman" w:eastAsia="宋体" w:cs="Times New Roman"/>
      <w:lang w:val="en-US" w:eastAsia="zh-CN" w:bidi="ar-SA"/>
    </w:rPr>
  </w:style>
  <w:style w:type="character" w:styleId="875" w:customStyle="1">
    <w:name w:val="Title Char"/>
    <w:basedOn w:val="812"/>
    <w:uiPriority w:val="10"/>
    <w:qFormat/>
    <w:rPr>
      <w:sz w:val="48"/>
      <w:szCs w:val="48"/>
    </w:rPr>
  </w:style>
  <w:style w:type="character" w:styleId="876" w:customStyle="1">
    <w:name w:val="副标题 字符"/>
    <w:basedOn w:val="812"/>
    <w:link w:val="840"/>
    <w:uiPriority w:val="11"/>
    <w:qFormat/>
    <w:rPr>
      <w:sz w:val="24"/>
      <w:szCs w:val="24"/>
    </w:rPr>
  </w:style>
  <w:style w:type="paragraph" w:styleId="877">
    <w:name w:val="Quote"/>
    <w:basedOn w:val="802"/>
    <w:next w:val="802"/>
    <w:link w:val="878"/>
    <w:uiPriority w:val="29"/>
    <w:qFormat/>
    <w:pPr>
      <w:ind w:left="720" w:right="720"/>
    </w:pPr>
    <w:rPr>
      <w:i/>
    </w:rPr>
  </w:style>
  <w:style w:type="character" w:styleId="878" w:customStyle="1">
    <w:name w:val="引用 字符"/>
    <w:link w:val="877"/>
    <w:uiPriority w:val="29"/>
    <w:qFormat/>
    <w:rPr>
      <w:i/>
    </w:rPr>
  </w:style>
  <w:style w:type="paragraph" w:styleId="879">
    <w:name w:val="Intense Quote"/>
    <w:basedOn w:val="802"/>
    <w:next w:val="802"/>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character" w:styleId="881" w:customStyle="1">
    <w:name w:val="Header Char"/>
    <w:basedOn w:val="812"/>
    <w:uiPriority w:val="99"/>
    <w:qFormat/>
  </w:style>
  <w:style w:type="character" w:styleId="882" w:customStyle="1">
    <w:name w:val="Footer Char"/>
    <w:basedOn w:val="812"/>
    <w:uiPriority w:val="99"/>
    <w:qFormat/>
  </w:style>
  <w:style w:type="character" w:styleId="883" w:customStyle="1">
    <w:name w:val="Caption Char"/>
    <w:uiPriority w:val="99"/>
    <w:qFormat/>
  </w:style>
  <w:style w:type="table" w:styleId="884" w:customStyle="1">
    <w:name w:val="Table Grid Light"/>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5" w:customStyle="1">
    <w:name w:val="无格式表格 1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8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8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8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8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8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8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8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8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8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8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8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8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网格表 3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8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8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8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8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8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8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81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basedOn w:val="81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basedOn w:val="81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basedOn w:val="81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basedOn w:val="81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basedOn w:val="81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网格表 5 深色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网格表 6 彩色1"/>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basedOn w:val="81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basedOn w:val="8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basedOn w:val="81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9" w:customStyle="1">
    <w:name w:val="Grid Table 6 Colorful - Accent 4"/>
    <w:basedOn w:val="8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basedOn w:val="81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basedOn w:val="81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网格表 7 彩色1"/>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81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81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81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81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81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81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清单表 1 浅色1"/>
    <w:basedOn w:val="8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81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81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81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81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81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81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清单表 21"/>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basedOn w:val="81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basedOn w:val="81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basedOn w:val="81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basedOn w:val="81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basedOn w:val="81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basedOn w:val="81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清单表 3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81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basedOn w:val="8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81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8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81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81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清单表 4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81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basedOn w:val="81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basedOn w:val="81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basedOn w:val="81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basedOn w:val="81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basedOn w:val="81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清单表 5 深色1"/>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basedOn w:val="81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81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81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81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81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81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8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basedOn w:val="81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basedOn w:val="81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basedOn w:val="81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basedOn w:val="81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basedOn w:val="81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basedOn w:val="81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清单表 7 彩色1"/>
    <w:basedOn w:val="8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81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1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1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1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1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1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8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1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81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81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81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81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81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8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8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8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8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8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8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脚注文本 字符"/>
    <w:link w:val="841"/>
    <w:uiPriority w:val="99"/>
    <w:qFormat/>
    <w:rPr>
      <w:sz w:val="18"/>
    </w:rPr>
  </w:style>
  <w:style w:type="character" w:styleId="1010" w:customStyle="1">
    <w:name w:val="尾注文本 字符"/>
    <w:link w:val="834"/>
    <w:uiPriority w:val="99"/>
    <w:qFormat/>
    <w:rPr>
      <w:sz w:val="20"/>
    </w:rPr>
  </w:style>
  <w:style w:type="paragraph" w:styleId="1011" w:customStyle="1">
    <w:name w:val="TOC 标题1"/>
    <w:uiPriority w:val="39"/>
    <w:unhideWhenUsed/>
    <w:qFormat/>
    <w:rPr>
      <w:rFonts w:ascii="Times New Roman" w:hAnsi="Times New Roman" w:eastAsia="宋体" w:cs="Times New Roman"/>
      <w:lang w:val="en-US" w:eastAsia="zh-CN" w:bidi="ar-SA"/>
    </w:rPr>
  </w:style>
  <w:style w:type="paragraph" w:styleId="1012" w:customStyle="1">
    <w:name w:val="正文首行缩进 21"/>
    <w:basedOn w:val="1013"/>
    <w:uiPriority w:val="0"/>
    <w:qFormat/>
    <w:pPr>
      <w:ind w:left="420" w:firstLine="420"/>
      <w:spacing w:after="120" w:line="480" w:lineRule="exact"/>
    </w:pPr>
  </w:style>
  <w:style w:type="paragraph" w:styleId="1013" w:customStyle="1">
    <w:name w:val="正文文本缩进11"/>
    <w:basedOn w:val="802"/>
    <w:next w:val="802"/>
    <w:uiPriority w:val="0"/>
    <w:qFormat/>
    <w:pPr>
      <w:ind w:firstLine="570"/>
      <w:spacing w:line="360" w:lineRule="auto"/>
    </w:pPr>
    <w:rPr>
      <w:sz w:val="24"/>
    </w:rPr>
  </w:style>
  <w:style w:type="character" w:styleId="1014" w:customStyle="1">
    <w:name w:val="标题 1 字符"/>
    <w:link w:val="803"/>
    <w:uiPriority w:val="0"/>
    <w:qFormat/>
    <w:rPr>
      <w:rFonts w:ascii="宋体"/>
      <w:b/>
      <w:sz w:val="32"/>
    </w:rPr>
  </w:style>
  <w:style w:type="character" w:styleId="1015" w:customStyle="1">
    <w:name w:val="标题 2 Char"/>
    <w:uiPriority w:val="0"/>
    <w:qFormat/>
    <w:rPr>
      <w:rFonts w:ascii="Arial" w:hAnsi="Arial" w:eastAsia="黑体"/>
      <w:b/>
      <w:sz w:val="30"/>
      <w:lang w:val="en-US" w:eastAsia="zh-CN" w:bidi="ar-SA"/>
    </w:rPr>
  </w:style>
  <w:style w:type="paragraph" w:styleId="1016" w:customStyle="1">
    <w:name w:val="首行缩进"/>
    <w:basedOn w:val="802"/>
    <w:uiPriority w:val="0"/>
    <w:qFormat/>
    <w:pPr>
      <w:ind w:firstLine="480"/>
      <w:jc w:val="left"/>
      <w:spacing w:line="360" w:lineRule="auto"/>
    </w:pPr>
    <w:rPr>
      <w:rFonts w:ascii="宋体" w:hAnsi="宋体"/>
      <w:sz w:val="24"/>
    </w:rPr>
  </w:style>
  <w:style w:type="paragraph" w:styleId="1017" w:customStyle="1">
    <w:name w:val="段"/>
    <w:basedOn w:val="802"/>
    <w:next w:val="802"/>
    <w:uiPriority w:val="0"/>
    <w:qFormat/>
    <w:pPr>
      <w:ind w:firstLine="200"/>
      <w:widowControl/>
    </w:pPr>
    <w:rPr>
      <w:rFonts w:hint="eastAsia" w:ascii="宋体"/>
    </w:rPr>
  </w:style>
  <w:style w:type="paragraph" w:styleId="1018" w:customStyle="1">
    <w:name w:val="一级条标题"/>
    <w:basedOn w:val="1019"/>
    <w:next w:val="1017"/>
    <w:uiPriority w:val="0"/>
    <w:qFormat/>
    <w:pPr>
      <w:numPr>
        <w:ilvl w:val="1"/>
      </w:numPr>
      <w:ind w:left="0" w:hanging="840"/>
      <w:tabs>
        <w:tab w:val="left" w:pos="360" w:leader="none"/>
        <w:tab w:val="left" w:pos="840" w:leader="none"/>
      </w:tabs>
      <w:outlineLvl w:val="1"/>
    </w:pPr>
  </w:style>
  <w:style w:type="paragraph" w:styleId="1019" w:customStyle="1">
    <w:name w:val="章标题"/>
    <w:next w:val="802"/>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1020" w:customStyle="1">
    <w:name w:val="正文 A"/>
    <w:next w:val="1017"/>
    <w:uiPriority w:val="0"/>
    <w:qFormat/>
    <w:pPr>
      <w:jc w:val="both"/>
      <w:widowControl w:val="off"/>
    </w:pPr>
    <w:rPr>
      <w:rFonts w:ascii="Calibri" w:hAnsi="Calibri" w:eastAsia="宋体" w:cs="Times New Roman"/>
      <w:color w:val="000000"/>
      <w:sz w:val="21"/>
      <w:szCs w:val="21"/>
      <w:lang w:val="en-US" w:eastAsia="zh-CN" w:bidi="ar-SA"/>
    </w:rPr>
  </w:style>
  <w:style w:type="paragraph" w:styleId="102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22" w:customStyle="1">
    <w:name w:val="xl25"/>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character" w:styleId="1023" w:customStyle="1">
    <w:name w:val="正文文本缩进 字符"/>
    <w:link w:val="823"/>
    <w:uiPriority w:val="0"/>
    <w:qFormat/>
    <w:rPr>
      <w:rFonts w:eastAsia="宋体"/>
      <w:sz w:val="24"/>
      <w:szCs w:val="24"/>
      <w:lang w:val="en-US" w:eastAsia="zh-CN" w:bidi="ar-SA"/>
    </w:rPr>
  </w:style>
  <w:style w:type="character" w:styleId="1024" w:customStyle="1">
    <w:name w:val="标题 2 字符"/>
    <w:link w:val="804"/>
    <w:uiPriority w:val="0"/>
    <w:qFormat/>
    <w:rPr>
      <w:rFonts w:ascii="Arial" w:hAnsi="Arial" w:eastAsia="黑体"/>
      <w:b/>
      <w:sz w:val="30"/>
      <w:lang w:val="en-US" w:eastAsia="zh-CN" w:bidi="ar-SA"/>
    </w:rPr>
  </w:style>
  <w:style w:type="character" w:styleId="1025" w:customStyle="1">
    <w:name w:val="标题 3 字符"/>
    <w:link w:val="805"/>
    <w:uiPriority w:val="0"/>
    <w:qFormat/>
    <w:rPr>
      <w:rFonts w:ascii="宋体" w:eastAsia="宋体"/>
      <w:b/>
      <w:sz w:val="24"/>
      <w:u w:val="single"/>
      <w:lang w:val="en-US" w:eastAsia="zh-CN" w:bidi="ar-SA"/>
    </w:rPr>
  </w:style>
  <w:style w:type="character" w:styleId="1026" w:customStyle="1">
    <w:name w:val="标题 4 字符"/>
    <w:link w:val="806"/>
    <w:uiPriority w:val="0"/>
    <w:qFormat/>
    <w:rPr>
      <w:rFonts w:ascii="Arial" w:hAnsi="Arial" w:eastAsia="黑体"/>
      <w:b/>
      <w:sz w:val="28"/>
    </w:rPr>
  </w:style>
  <w:style w:type="character" w:styleId="1027" w:customStyle="1">
    <w:name w:val="标题 5 字符"/>
    <w:link w:val="807"/>
    <w:uiPriority w:val="0"/>
    <w:qFormat/>
    <w:rPr>
      <w:b/>
      <w:sz w:val="28"/>
    </w:rPr>
  </w:style>
  <w:style w:type="character" w:styleId="1028" w:customStyle="1">
    <w:name w:val="标题 6 字符"/>
    <w:link w:val="808"/>
    <w:uiPriority w:val="0"/>
    <w:qFormat/>
    <w:rPr>
      <w:rFonts w:ascii="Arial" w:hAnsi="Arial" w:eastAsia="黑体"/>
      <w:b/>
      <w:sz w:val="24"/>
    </w:rPr>
  </w:style>
  <w:style w:type="character" w:styleId="1029" w:customStyle="1">
    <w:name w:val="标题 7 字符"/>
    <w:link w:val="809"/>
    <w:uiPriority w:val="0"/>
    <w:qFormat/>
    <w:rPr>
      <w:b/>
      <w:sz w:val="24"/>
    </w:rPr>
  </w:style>
  <w:style w:type="character" w:styleId="1030" w:customStyle="1">
    <w:name w:val="标题 8 字符"/>
    <w:link w:val="810"/>
    <w:uiPriority w:val="0"/>
    <w:qFormat/>
    <w:rPr>
      <w:rFonts w:ascii="Arial" w:hAnsi="Arial" w:eastAsia="黑体"/>
      <w:sz w:val="24"/>
    </w:rPr>
  </w:style>
  <w:style w:type="character" w:styleId="1031" w:customStyle="1">
    <w:name w:val="标题 9 字符"/>
    <w:link w:val="811"/>
    <w:uiPriority w:val="0"/>
    <w:qFormat/>
    <w:rPr>
      <w:rFonts w:ascii="Arial" w:hAnsi="Arial" w:eastAsia="黑体"/>
      <w:sz w:val="21"/>
    </w:rPr>
  </w:style>
  <w:style w:type="character" w:styleId="1032" w:customStyle="1">
    <w:name w:val="正文缩进 字符"/>
    <w:link w:val="815"/>
    <w:uiPriority w:val="0"/>
    <w:qFormat/>
    <w:rPr>
      <w:rFonts w:ascii="宋体" w:eastAsia="宋体"/>
      <w:sz w:val="24"/>
      <w:szCs w:val="24"/>
      <w:lang w:val="en-US" w:eastAsia="zh-CN" w:bidi="ar-SA"/>
    </w:rPr>
  </w:style>
  <w:style w:type="character" w:styleId="1033" w:customStyle="1">
    <w:name w:val="文档结构图 字符"/>
    <w:link w:val="818"/>
    <w:uiPriority w:val="0"/>
    <w:qFormat/>
    <w:rPr>
      <w:sz w:val="21"/>
      <w:szCs w:val="24"/>
      <w:shd w:val="clear" w:color="auto" w:fill="000080"/>
    </w:rPr>
  </w:style>
  <w:style w:type="character" w:styleId="1034" w:customStyle="1">
    <w:name w:val="批注文字 字符1"/>
    <w:link w:val="819"/>
    <w:uiPriority w:val="99"/>
    <w:qFormat/>
    <w:rPr>
      <w:sz w:val="21"/>
      <w:szCs w:val="24"/>
    </w:rPr>
  </w:style>
  <w:style w:type="character" w:styleId="1035" w:customStyle="1">
    <w:name w:val="正文文本 3 字符"/>
    <w:link w:val="820"/>
    <w:uiPriority w:val="0"/>
    <w:qFormat/>
    <w:rPr>
      <w:sz w:val="16"/>
      <w:szCs w:val="16"/>
    </w:rPr>
  </w:style>
  <w:style w:type="character" w:styleId="1036" w:customStyle="1">
    <w:name w:val="正文文本 字符"/>
    <w:link w:val="821"/>
    <w:uiPriority w:val="0"/>
    <w:qFormat/>
    <w:rPr>
      <w:rFonts w:ascii="宋体" w:hAnsi="宋体"/>
      <w:sz w:val="24"/>
      <w:szCs w:val="24"/>
    </w:rPr>
  </w:style>
  <w:style w:type="character" w:styleId="1037" w:customStyle="1">
    <w:name w:val="纯文本 字符2"/>
    <w:link w:val="830"/>
    <w:uiPriority w:val="0"/>
    <w:qFormat/>
    <w:rPr>
      <w:rFonts w:hint="eastAsia" w:ascii="宋体" w:hAnsi="Courier New" w:eastAsia="宋体" w:cs="宋体"/>
      <w:sz w:val="21"/>
    </w:rPr>
  </w:style>
  <w:style w:type="character" w:styleId="1038" w:customStyle="1">
    <w:name w:val="日期 字符"/>
    <w:link w:val="832"/>
    <w:uiPriority w:val="0"/>
    <w:qFormat/>
    <w:rPr>
      <w:rFonts w:ascii="仿宋_GB2312" w:hAnsi="宋体" w:eastAsia="仿宋_GB2312"/>
      <w:color w:val="000000"/>
      <w:sz w:val="24"/>
      <w:szCs w:val="24"/>
    </w:rPr>
  </w:style>
  <w:style w:type="character" w:styleId="1039" w:customStyle="1">
    <w:name w:val="正文文本缩进 2 字符"/>
    <w:link w:val="833"/>
    <w:uiPriority w:val="0"/>
    <w:qFormat/>
    <w:rPr>
      <w:rFonts w:ascii="仿宋_GB2312" w:eastAsia="仿宋_GB2312"/>
      <w:sz w:val="24"/>
      <w:szCs w:val="24"/>
    </w:rPr>
  </w:style>
  <w:style w:type="character" w:styleId="1040" w:customStyle="1">
    <w:name w:val="批注框文本 字符"/>
    <w:link w:val="835"/>
    <w:uiPriority w:val="0"/>
    <w:qFormat/>
    <w:rPr>
      <w:sz w:val="18"/>
      <w:szCs w:val="18"/>
    </w:rPr>
  </w:style>
  <w:style w:type="character" w:styleId="1041" w:customStyle="1">
    <w:name w:val="页脚 字符"/>
    <w:link w:val="836"/>
    <w:uiPriority w:val="99"/>
    <w:qFormat/>
    <w:rPr>
      <w:rFonts w:ascii="宋体" w:eastAsia="宋体"/>
      <w:sz w:val="18"/>
      <w:lang w:val="en-US" w:eastAsia="zh-CN" w:bidi="ar-SA"/>
    </w:rPr>
  </w:style>
  <w:style w:type="character" w:styleId="1042" w:customStyle="1">
    <w:name w:val="页眉 字符"/>
    <w:link w:val="837"/>
    <w:uiPriority w:val="0"/>
    <w:qFormat/>
    <w:rPr>
      <w:rFonts w:eastAsia="宋体"/>
      <w:sz w:val="18"/>
      <w:szCs w:val="18"/>
      <w:lang w:val="en-US" w:eastAsia="zh-CN" w:bidi="ar-SA"/>
    </w:rPr>
  </w:style>
  <w:style w:type="character" w:styleId="1043" w:customStyle="1">
    <w:name w:val="正文文本缩进 3 字符"/>
    <w:link w:val="843"/>
    <w:uiPriority w:val="0"/>
    <w:qFormat/>
    <w:rPr>
      <w:rFonts w:ascii="宋体"/>
      <w:sz w:val="24"/>
    </w:rPr>
  </w:style>
  <w:style w:type="character" w:styleId="1044" w:customStyle="1">
    <w:name w:val="HTML 预设格式 字符"/>
    <w:link w:val="847"/>
    <w:uiPriority w:val="0"/>
    <w:qFormat/>
    <w:rPr>
      <w:rFonts w:ascii="宋体" w:hAnsi="宋体" w:cs="宋体"/>
      <w:sz w:val="24"/>
      <w:szCs w:val="24"/>
    </w:rPr>
  </w:style>
  <w:style w:type="character" w:styleId="1045" w:customStyle="1">
    <w:name w:val="标题 字符"/>
    <w:link w:val="850"/>
    <w:uiPriority w:val="0"/>
    <w:qFormat/>
    <w:rPr>
      <w:b/>
      <w:sz w:val="32"/>
    </w:rPr>
  </w:style>
  <w:style w:type="character" w:styleId="1046" w:customStyle="1">
    <w:name w:val="批注主题 字符"/>
    <w:link w:val="851"/>
    <w:uiPriority w:val="0"/>
    <w:qFormat/>
    <w:rPr>
      <w:rFonts w:ascii="Times New Roman" w:hAnsi="Times New Roman" w:eastAsia="宋体" w:cs="Times New Roman"/>
      <w:b/>
      <w:bCs/>
      <w:sz w:val="21"/>
      <w:szCs w:val="24"/>
      <w:lang w:val="en-US" w:eastAsia="zh-CN" w:bidi="ar-SA"/>
    </w:rPr>
  </w:style>
  <w:style w:type="character" w:styleId="1047" w:customStyle="1">
    <w:name w:val="正文文本首行缩进 2 字符"/>
    <w:link w:val="853"/>
    <w:uiPriority w:val="0"/>
    <w:qFormat/>
    <w:rPr>
      <w:rFonts w:eastAsia="宋体"/>
      <w:sz w:val="24"/>
      <w:szCs w:val="24"/>
      <w:lang w:val="en-US" w:eastAsia="zh-CN" w:bidi="ar-SA"/>
    </w:rPr>
  </w:style>
  <w:style w:type="character" w:styleId="1048" w:customStyle="1">
    <w:name w:val="批注文字 字符"/>
    <w:uiPriority w:val="99"/>
    <w:qFormat/>
    <w:rPr>
      <w:rFonts w:ascii="Times New Roman" w:hAnsi="Times New Roman" w:eastAsia="宋体" w:cs="Times New Roman"/>
      <w:sz w:val="24"/>
      <w:lang w:val="en-US" w:eastAsia="zh-CN" w:bidi="ar-SA"/>
    </w:rPr>
  </w:style>
  <w:style w:type="character" w:styleId="1049" w:customStyle="1">
    <w:name w:val="Char Char111"/>
    <w:uiPriority w:val="0"/>
    <w:qFormat/>
    <w:rPr>
      <w:rFonts w:ascii="宋体" w:eastAsia="宋体"/>
      <w:b/>
      <w:sz w:val="24"/>
      <w:u w:val="single"/>
      <w:lang w:val="en-US" w:eastAsia="zh-CN" w:bidi="ar-SA"/>
    </w:rPr>
  </w:style>
  <w:style w:type="character" w:styleId="1050" w:customStyle="1">
    <w:name w:val="font181"/>
    <w:uiPriority w:val="0"/>
    <w:qFormat/>
    <w:rPr>
      <w:rFonts w:ascii="微软雅黑" w:hAnsi="微软雅黑" w:eastAsia="微软雅黑" w:cs="微软雅黑"/>
      <w:color w:val="000000"/>
      <w:sz w:val="21"/>
      <w:szCs w:val="21"/>
      <w:u w:val="none"/>
    </w:rPr>
  </w:style>
  <w:style w:type="character" w:styleId="1051" w:customStyle="1">
    <w:name w:val="font121"/>
    <w:uiPriority w:val="0"/>
    <w:qFormat/>
    <w:rPr>
      <w:rFonts w:hint="eastAsia" w:ascii="宋体" w:hAnsi="宋体" w:eastAsia="宋体" w:cs="宋体"/>
      <w:color w:val="000000"/>
      <w:sz w:val="20"/>
      <w:szCs w:val="20"/>
      <w:u w:val="none"/>
      <w:vertAlign w:val="superscript"/>
    </w:rPr>
  </w:style>
  <w:style w:type="character" w:styleId="1052" w:customStyle="1">
    <w:name w:val="列出段落 Char"/>
    <w:uiPriority w:val="0"/>
    <w:qFormat/>
    <w:rPr>
      <w:rFonts w:ascii="Calibri" w:hAnsi="Calibri" w:eastAsia="宋体"/>
      <w:sz w:val="21"/>
      <w:szCs w:val="22"/>
      <w:lang w:val="en-US" w:eastAsia="zh-CN" w:bidi="ar-SA"/>
    </w:rPr>
  </w:style>
  <w:style w:type="character" w:styleId="1053" w:customStyle="1">
    <w:name w:val="正文文本缩进 Char1"/>
    <w:link w:val="1054"/>
    <w:uiPriority w:val="0"/>
    <w:qFormat/>
    <w:rPr>
      <w:rFonts w:ascii="宋体" w:hAnsi="宋体" w:eastAsia="宋体"/>
      <w:sz w:val="24"/>
      <w:szCs w:val="24"/>
      <w:lang w:bidi="ar-SA"/>
    </w:rPr>
  </w:style>
  <w:style w:type="paragraph" w:styleId="1054" w:customStyle="1">
    <w:name w:val="正文文本缩进1"/>
    <w:basedOn w:val="802"/>
    <w:link w:val="1053"/>
    <w:uiPriority w:val="0"/>
    <w:qFormat/>
    <w:pPr>
      <w:ind w:firstLine="480"/>
      <w:spacing w:line="480" w:lineRule="exact"/>
    </w:pPr>
    <w:rPr>
      <w:rFonts w:ascii="宋体" w:hAnsi="宋体"/>
      <w:sz w:val="24"/>
    </w:rPr>
  </w:style>
  <w:style w:type="character" w:styleId="1055" w:customStyle="1">
    <w:name w:val="font51"/>
    <w:uiPriority w:val="0"/>
    <w:qFormat/>
    <w:rPr>
      <w:rFonts w:hint="eastAsia" w:ascii="宋体" w:hAnsi="宋体" w:eastAsia="宋体" w:cs="宋体"/>
      <w:color w:val="000000"/>
      <w:sz w:val="22"/>
      <w:szCs w:val="22"/>
      <w:u w:val="none"/>
    </w:rPr>
  </w:style>
  <w:style w:type="character" w:styleId="1056" w:customStyle="1">
    <w:name w:val="普通文字1 Char1"/>
    <w:uiPriority w:val="0"/>
    <w:qFormat/>
    <w:rPr>
      <w:rFonts w:ascii="宋体" w:hAnsi="Courier New" w:eastAsia="宋体"/>
      <w:sz w:val="21"/>
      <w:lang w:val="en-US" w:eastAsia="zh-CN" w:bidi="ar-SA"/>
    </w:rPr>
  </w:style>
  <w:style w:type="character" w:styleId="1057" w:customStyle="1">
    <w:name w:val="bjh-p"/>
    <w:uiPriority w:val="0"/>
    <w:qFormat/>
  </w:style>
  <w:style w:type="character" w:styleId="1058" w:customStyle="1">
    <w:name w:val="font141"/>
    <w:uiPriority w:val="0"/>
    <w:qFormat/>
    <w:rPr>
      <w:rFonts w:ascii="Arial Unicode MS" w:hAnsi="Arial Unicode MS" w:eastAsia="Arial Unicode MS" w:cs="Arial Unicode MS"/>
      <w:color w:val="000000"/>
      <w:sz w:val="20"/>
      <w:szCs w:val="20"/>
      <w:u w:val="none"/>
    </w:rPr>
  </w:style>
  <w:style w:type="character" w:styleId="1059" w:customStyle="1">
    <w:name w:val="页眉 Char"/>
    <w:uiPriority w:val="0"/>
    <w:qFormat/>
    <w:rPr>
      <w:rFonts w:eastAsia="宋体"/>
      <w:sz w:val="18"/>
      <w:szCs w:val="18"/>
      <w:lang w:val="en-US" w:eastAsia="zh-CN" w:bidi="ar-SA"/>
    </w:rPr>
  </w:style>
  <w:style w:type="character" w:styleId="1060" w:customStyle="1">
    <w:name w:val="标题 2 Char Char"/>
    <w:uiPriority w:val="0"/>
    <w:qFormat/>
    <w:rPr>
      <w:rFonts w:ascii="Arial" w:hAnsi="Arial" w:eastAsia="黑体"/>
      <w:b/>
      <w:bCs/>
      <w:sz w:val="32"/>
      <w:szCs w:val="32"/>
      <w:lang w:val="en-US" w:eastAsia="zh-CN" w:bidi="ar-SA"/>
    </w:rPr>
  </w:style>
  <w:style w:type="character" w:styleId="1061" w:customStyle="1">
    <w:name w:val="纯文本 Char1"/>
    <w:uiPriority w:val="0"/>
    <w:qFormat/>
    <w:rPr>
      <w:rFonts w:ascii="宋体" w:hAnsi="Courier New" w:eastAsia="宋体"/>
      <w:sz w:val="21"/>
      <w:lang w:val="en-US" w:eastAsia="zh-CN" w:bidi="ar-SA"/>
    </w:rPr>
  </w:style>
  <w:style w:type="character" w:styleId="1062" w:customStyle="1">
    <w:name w:val="Char Char11"/>
    <w:uiPriority w:val="0"/>
    <w:qFormat/>
    <w:rPr>
      <w:rFonts w:ascii="宋体" w:eastAsia="宋体"/>
      <w:b/>
      <w:sz w:val="24"/>
      <w:u w:val="single"/>
      <w:lang w:val="en-US" w:eastAsia="zh-CN" w:bidi="ar-SA"/>
    </w:rPr>
  </w:style>
  <w:style w:type="character" w:styleId="1063" w:customStyle="1">
    <w:name w:val="chanpin拷贝"/>
    <w:uiPriority w:val="0"/>
    <w:qFormat/>
  </w:style>
  <w:style w:type="character" w:styleId="1064" w:customStyle="1">
    <w:name w:val="font21"/>
    <w:uiPriority w:val="0"/>
    <w:qFormat/>
    <w:rPr>
      <w:rFonts w:hint="eastAsia" w:ascii="宋体" w:hAnsi="宋体" w:eastAsia="宋体" w:cs="宋体"/>
      <w:b/>
      <w:bCs/>
      <w:color w:val="000000"/>
      <w:sz w:val="20"/>
      <w:szCs w:val="20"/>
      <w:u w:val="none"/>
    </w:rPr>
  </w:style>
  <w:style w:type="character" w:styleId="1065" w:customStyle="1">
    <w:name w:val="chanpin1"/>
    <w:uiPriority w:val="0"/>
    <w:qFormat/>
    <w:rPr>
      <w:rFonts w:hint="default" w:ascii="ˎ̥" w:hAnsi="ˎ̥"/>
      <w:color w:val="000000"/>
      <w:sz w:val="20"/>
      <w:szCs w:val="20"/>
      <w:u w:val="none"/>
    </w:rPr>
  </w:style>
  <w:style w:type="character" w:styleId="1066" w:customStyle="1">
    <w:name w:val="font131"/>
    <w:uiPriority w:val="0"/>
    <w:qFormat/>
    <w:rPr>
      <w:rFonts w:ascii="微软雅黑" w:hAnsi="微软雅黑" w:eastAsia="微软雅黑" w:cs="微软雅黑"/>
      <w:color w:val="000000"/>
      <w:sz w:val="22"/>
      <w:szCs w:val="22"/>
      <w:u w:val="none"/>
    </w:rPr>
  </w:style>
  <w:style w:type="character" w:styleId="1067" w:customStyle="1">
    <w:name w:val="black1"/>
    <w:uiPriority w:val="0"/>
    <w:qFormat/>
    <w:rPr>
      <w:color w:val="000000"/>
    </w:rPr>
  </w:style>
  <w:style w:type="character" w:styleId="1068" w:customStyle="1">
    <w:name w:val="彩色列表字符"/>
    <w:link w:val="1069"/>
    <w:uiPriority w:val="34"/>
    <w:qFormat/>
    <w:rPr>
      <w:rFonts w:ascii="Calibri" w:hAnsi="Calibri" w:eastAsia="宋体"/>
      <w:sz w:val="21"/>
      <w:szCs w:val="22"/>
      <w:lang w:val="en-US" w:eastAsia="zh-CN" w:bidi="ar-SA"/>
    </w:rPr>
  </w:style>
  <w:style w:type="paragraph" w:styleId="1069" w:customStyle="1">
    <w:name w:val="彩色列表1"/>
    <w:basedOn w:val="802"/>
    <w:link w:val="1068"/>
    <w:uiPriority w:val="34"/>
    <w:qFormat/>
    <w:pPr>
      <w:ind w:firstLine="420"/>
    </w:pPr>
    <w:rPr>
      <w:rFonts w:ascii="Calibri" w:hAnsi="Calibri"/>
      <w:szCs w:val="22"/>
    </w:rPr>
  </w:style>
  <w:style w:type="character" w:styleId="1070" w:customStyle="1">
    <w:name w:val="标题 3 Char Char"/>
    <w:uiPriority w:val="0"/>
    <w:qFormat/>
    <w:rPr>
      <w:rFonts w:eastAsia="宋体"/>
      <w:b/>
      <w:bCs/>
      <w:sz w:val="32"/>
      <w:szCs w:val="32"/>
      <w:lang w:val="en-US" w:eastAsia="zh-CN" w:bidi="ar-SA"/>
    </w:rPr>
  </w:style>
  <w:style w:type="character" w:styleId="1071" w:customStyle="1">
    <w:name w:val="font31"/>
    <w:uiPriority w:val="0"/>
    <w:qFormat/>
    <w:rPr>
      <w:rFonts w:ascii="Calibri" w:hAnsi="Calibri" w:cs="Calibri"/>
      <w:color w:val="000000"/>
      <w:sz w:val="22"/>
      <w:szCs w:val="22"/>
      <w:u w:val="none"/>
    </w:rPr>
  </w:style>
  <w:style w:type="character" w:styleId="1072" w:customStyle="1">
    <w:name w:val="页脚 Char"/>
    <w:uiPriority w:val="0"/>
    <w:qFormat/>
    <w:rPr>
      <w:rFonts w:ascii="宋体" w:eastAsia="宋体"/>
      <w:sz w:val="18"/>
      <w:lang w:val="en-US" w:eastAsia="zh-CN" w:bidi="ar-SA"/>
    </w:rPr>
  </w:style>
  <w:style w:type="character" w:styleId="1073" w:customStyle="1">
    <w:name w:val="注释 Char"/>
    <w:link w:val="1074"/>
    <w:uiPriority w:val="0"/>
    <w:qFormat/>
    <w:rPr>
      <w:rFonts w:ascii="宋体" w:hAnsi="宋体"/>
      <w:sz w:val="21"/>
      <w:szCs w:val="21"/>
    </w:rPr>
  </w:style>
  <w:style w:type="paragraph" w:styleId="1074" w:customStyle="1">
    <w:name w:val="注释"/>
    <w:basedOn w:val="802"/>
    <w:link w:val="1073"/>
    <w:uiPriority w:val="0"/>
    <w:qFormat/>
    <w:pPr>
      <w:ind w:left="420" w:hanging="420"/>
      <w:jc w:val="left"/>
    </w:pPr>
    <w:rPr>
      <w:rFonts w:ascii="宋体" w:hAnsi="宋体"/>
      <w:szCs w:val="21"/>
    </w:rPr>
  </w:style>
  <w:style w:type="character" w:styleId="1075" w:customStyle="1">
    <w:name w:val="正文缩进 Char Char"/>
    <w:link w:val="1076"/>
    <w:uiPriority w:val="0"/>
    <w:qFormat/>
    <w:rPr>
      <w:rFonts w:ascii="宋体" w:eastAsia="宋体"/>
      <w:color w:val="000000"/>
      <w:sz w:val="28"/>
      <w:lang w:bidi="ar-SA"/>
    </w:rPr>
  </w:style>
  <w:style w:type="paragraph" w:styleId="1076" w:customStyle="1">
    <w:name w:val="正文缩进1"/>
    <w:basedOn w:val="802"/>
    <w:link w:val="1075"/>
    <w:uiPriority w:val="0"/>
    <w:qFormat/>
    <w:pPr>
      <w:ind w:firstLine="567"/>
      <w:spacing w:line="480" w:lineRule="exact"/>
      <w:widowControl/>
    </w:pPr>
    <w:rPr>
      <w:rFonts w:ascii="宋体"/>
      <w:color w:val="000000"/>
      <w:sz w:val="28"/>
      <w:szCs w:val="20"/>
    </w:rPr>
  </w:style>
  <w:style w:type="character" w:styleId="1077" w:customStyle="1">
    <w:name w:val="font11"/>
    <w:uiPriority w:val="0"/>
    <w:qFormat/>
    <w:rPr>
      <w:rFonts w:hint="eastAsia" w:ascii="宋体" w:hAnsi="宋体" w:eastAsia="宋体" w:cs="宋体"/>
      <w:color w:val="000000"/>
      <w:sz w:val="22"/>
      <w:szCs w:val="22"/>
      <w:u w:val="none"/>
    </w:rPr>
  </w:style>
  <w:style w:type="character" w:styleId="1078" w:customStyle="1">
    <w:name w:val="font281"/>
    <w:uiPriority w:val="0"/>
    <w:qFormat/>
    <w:rPr>
      <w:rFonts w:hint="default" w:ascii="Calibri" w:hAnsi="Calibri" w:cs="Calibri"/>
      <w:color w:val="000000"/>
      <w:sz w:val="21"/>
      <w:szCs w:val="21"/>
      <w:u w:val="none"/>
    </w:rPr>
  </w:style>
  <w:style w:type="character" w:styleId="1079" w:customStyle="1">
    <w:name w:val="locality"/>
    <w:uiPriority w:val="0"/>
    <w:qFormat/>
  </w:style>
  <w:style w:type="character" w:styleId="1080" w:customStyle="1">
    <w:name w:val="font101"/>
    <w:uiPriority w:val="0"/>
    <w:qFormat/>
    <w:rPr>
      <w:rFonts w:ascii="Arial Unicode MS" w:hAnsi="Arial Unicode MS" w:eastAsia="Arial Unicode MS" w:cs="Arial Unicode MS"/>
      <w:color w:val="000000"/>
      <w:sz w:val="20"/>
      <w:szCs w:val="20"/>
      <w:u w:val="none"/>
    </w:rPr>
  </w:style>
  <w:style w:type="character" w:styleId="1081" w:customStyle="1">
    <w:name w:val="font122"/>
    <w:uiPriority w:val="0"/>
    <w:qFormat/>
    <w:rPr>
      <w:rFonts w:hint="eastAsia" w:ascii="宋体" w:hAnsi="宋体" w:eastAsia="宋体" w:cs="宋体"/>
      <w:b/>
      <w:bCs/>
      <w:color w:val="ff0000"/>
      <w:sz w:val="22"/>
      <w:szCs w:val="22"/>
      <w:u w:val="none"/>
    </w:rPr>
  </w:style>
  <w:style w:type="character" w:styleId="1082" w:customStyle="1">
    <w:name w:val="正文大标题 Char"/>
    <w:link w:val="1083"/>
    <w:uiPriority w:val="0"/>
    <w:qFormat/>
    <w:rPr>
      <w:rFonts w:ascii="宋体" w:hAnsi="宋体"/>
      <w:b/>
      <w:color w:val="000000"/>
      <w:sz w:val="28"/>
      <w:szCs w:val="21"/>
    </w:rPr>
  </w:style>
  <w:style w:type="paragraph" w:styleId="1083" w:customStyle="1">
    <w:name w:val="正文大标题"/>
    <w:basedOn w:val="1084"/>
    <w:next w:val="815"/>
    <w:link w:val="1082"/>
    <w:uiPriority w:val="0"/>
    <w:qFormat/>
    <w:pPr>
      <w:jc w:val="center"/>
    </w:pPr>
    <w:rPr>
      <w:i w:val="0"/>
      <w:color w:val="000000"/>
      <w:sz w:val="28"/>
      <w:szCs w:val="21"/>
    </w:rPr>
  </w:style>
  <w:style w:type="paragraph" w:styleId="1084" w:customStyle="1">
    <w:name w:val="正文小标题"/>
    <w:basedOn w:val="802"/>
    <w:next w:val="815"/>
    <w:link w:val="1085"/>
    <w:uiPriority w:val="0"/>
    <w:qFormat/>
    <w:pPr>
      <w:ind w:firstLine="482"/>
      <w:jc w:val="left"/>
    </w:pPr>
    <w:rPr>
      <w:rFonts w:ascii="宋体" w:hAnsi="宋体"/>
      <w:b/>
      <w:i/>
      <w:color w:val="ff0000"/>
      <w:sz w:val="24"/>
      <w:szCs w:val="20"/>
    </w:rPr>
  </w:style>
  <w:style w:type="character" w:styleId="1085" w:customStyle="1">
    <w:name w:val="正文小标题 Char"/>
    <w:link w:val="1084"/>
    <w:uiPriority w:val="0"/>
    <w:qFormat/>
    <w:rPr>
      <w:rFonts w:ascii="宋体" w:hAnsi="宋体"/>
      <w:b/>
      <w:i/>
      <w:color w:val="ff0000"/>
      <w:sz w:val="24"/>
    </w:rPr>
  </w:style>
  <w:style w:type="character" w:styleId="1086" w:customStyle="1">
    <w:name w:val="正文表格 Char"/>
    <w:link w:val="1087"/>
    <w:uiPriority w:val="0"/>
    <w:qFormat/>
    <w:rPr>
      <w:rFonts w:ascii="宋体" w:hAnsi="宋体"/>
      <w:color w:val="000000"/>
      <w:sz w:val="21"/>
      <w:szCs w:val="21"/>
    </w:rPr>
  </w:style>
  <w:style w:type="paragraph" w:styleId="1087" w:customStyle="1">
    <w:name w:val="正文表格"/>
    <w:basedOn w:val="802"/>
    <w:link w:val="1086"/>
    <w:uiPriority w:val="0"/>
    <w:qFormat/>
    <w:pPr>
      <w:jc w:val="left"/>
    </w:pPr>
    <w:rPr>
      <w:rFonts w:ascii="宋体" w:hAnsi="宋体"/>
      <w:color w:val="000000"/>
      <w:szCs w:val="21"/>
    </w:rPr>
  </w:style>
  <w:style w:type="character" w:styleId="1088" w:customStyle="1">
    <w:name w:val="中等深浅网格 1 - 强调文字颜色 2 Char"/>
    <w:link w:val="1089"/>
    <w:uiPriority w:val="0"/>
    <w:qFormat/>
    <w:rPr>
      <w:sz w:val="21"/>
      <w:szCs w:val="24"/>
      <w:lang w:val="zh-CN" w:eastAsia="zh-CN" w:bidi="ar-SA"/>
    </w:rPr>
  </w:style>
  <w:style w:type="paragraph" w:styleId="1089" w:customStyle="1">
    <w:name w:val="1"/>
    <w:link w:val="1088"/>
    <w:uiPriority w:val="0"/>
    <w:qFormat/>
    <w:rPr>
      <w:rFonts w:ascii="Times New Roman" w:hAnsi="Times New Roman" w:eastAsia="宋体" w:cs="Times New Roman"/>
      <w:sz w:val="21"/>
      <w:szCs w:val="24"/>
      <w:lang w:val="zh-CN" w:eastAsia="zh-CN" w:bidi="ar-SA"/>
    </w:rPr>
  </w:style>
  <w:style w:type="character" w:styleId="1090" w:customStyle="1">
    <w:name w:val="apple-style-span"/>
    <w:uiPriority w:val="0"/>
    <w:qFormat/>
    <w:rPr>
      <w:rFonts w:cs="Times New Roman"/>
    </w:rPr>
  </w:style>
  <w:style w:type="character" w:styleId="1091" w:customStyle="1">
    <w:name w:val="c21"/>
    <w:uiPriority w:val="0"/>
    <w:qFormat/>
    <w:rPr>
      <w:rFonts w:hint="default" w:ascii="ˎ̥" w:hAnsi="ˎ̥"/>
      <w:color w:val="000000"/>
      <w:sz w:val="20"/>
      <w:szCs w:val="20"/>
      <w:u w:val="none"/>
    </w:rPr>
  </w:style>
  <w:style w:type="character" w:styleId="1092" w:customStyle="1">
    <w:name w:val="正文文本缩进 Char"/>
    <w:uiPriority w:val="0"/>
    <w:qFormat/>
    <w:rPr>
      <w:rFonts w:eastAsia="宋体"/>
      <w:sz w:val="24"/>
      <w:szCs w:val="24"/>
      <w:lang w:val="en-US" w:eastAsia="zh-CN" w:bidi="ar-SA"/>
    </w:rPr>
  </w:style>
  <w:style w:type="character" w:styleId="1093" w:customStyle="1">
    <w:name w:val="font111"/>
    <w:uiPriority w:val="0"/>
    <w:qFormat/>
    <w:rPr>
      <w:rFonts w:ascii="Arial Unicode MS" w:hAnsi="Arial Unicode MS" w:eastAsia="Arial Unicode MS" w:cs="Arial Unicode MS"/>
      <w:color w:val="000000"/>
      <w:sz w:val="22"/>
      <w:szCs w:val="22"/>
      <w:u w:val="none"/>
    </w:rPr>
  </w:style>
  <w:style w:type="character" w:styleId="1094" w:customStyle="1">
    <w:name w:val="纯文本 字符"/>
    <w:uiPriority w:val="99"/>
    <w:qFormat/>
    <w:rPr>
      <w:rFonts w:ascii="宋体" w:hAnsi="Courier New" w:eastAsia="宋体" w:cs="Times New Roman"/>
      <w:sz w:val="21"/>
      <w:szCs w:val="21"/>
      <w:lang w:val="en-US" w:eastAsia="zh-CN" w:bidi="ar-SA"/>
    </w:rPr>
  </w:style>
  <w:style w:type="character" w:styleId="1095" w:customStyle="1">
    <w:name w:val="正文缩进 Char"/>
    <w:uiPriority w:val="0"/>
    <w:qFormat/>
    <w:rPr>
      <w:rFonts w:ascii="宋体" w:eastAsia="宋体"/>
      <w:sz w:val="24"/>
      <w:szCs w:val="24"/>
      <w:lang w:val="en-US" w:eastAsia="zh-CN" w:bidi="ar-SA"/>
    </w:rPr>
  </w:style>
  <w:style w:type="character" w:styleId="1096" w:customStyle="1">
    <w:name w:val="成文日期 Char"/>
    <w:link w:val="1097"/>
    <w:uiPriority w:val="0"/>
    <w:qFormat/>
    <w:rPr>
      <w:rFonts w:ascii="仿宋_GB2312" w:eastAsia="仿宋_GB2312"/>
      <w:sz w:val="32"/>
    </w:rPr>
  </w:style>
  <w:style w:type="paragraph" w:styleId="1097" w:customStyle="1">
    <w:name w:val="成文日期"/>
    <w:basedOn w:val="802"/>
    <w:link w:val="1096"/>
    <w:uiPriority w:val="0"/>
    <w:qFormat/>
    <w:pPr>
      <w:ind w:right="400" w:firstLine="200"/>
      <w:jc w:val="right"/>
      <w:spacing w:line="570" w:lineRule="exact"/>
    </w:pPr>
    <w:rPr>
      <w:rFonts w:ascii="仿宋_GB2312" w:eastAsia="仿宋_GB2312"/>
      <w:sz w:val="32"/>
      <w:szCs w:val="20"/>
    </w:rPr>
  </w:style>
  <w:style w:type="character" w:styleId="1098" w:customStyle="1">
    <w:name w:val="txt"/>
    <w:uiPriority w:val="0"/>
    <w:qFormat/>
  </w:style>
  <w:style w:type="character" w:styleId="1099" w:customStyle="1">
    <w:name w:val="批注文字 Char"/>
    <w:uiPriority w:val="99"/>
    <w:qFormat/>
    <w:rPr>
      <w:sz w:val="21"/>
      <w:szCs w:val="24"/>
    </w:rPr>
  </w:style>
  <w:style w:type="character" w:styleId="1100" w:customStyle="1">
    <w:name w:val="正文格式 Char"/>
    <w:link w:val="1101"/>
    <w:uiPriority w:val="0"/>
    <w:qFormat/>
    <w:rPr>
      <w:rFonts w:ascii="宋体" w:hAnsi="宋体"/>
      <w:sz w:val="24"/>
      <w:szCs w:val="24"/>
      <w:lang w:val="en-GB"/>
    </w:rPr>
  </w:style>
  <w:style w:type="paragraph" w:styleId="1101" w:customStyle="1">
    <w:name w:val="正文格式"/>
    <w:basedOn w:val="802"/>
    <w:link w:val="1100"/>
    <w:uiPriority w:val="0"/>
    <w:qFormat/>
    <w:pPr>
      <w:ind w:firstLine="480"/>
      <w:spacing w:line="360" w:lineRule="auto"/>
    </w:pPr>
    <w:rPr>
      <w:rFonts w:ascii="宋体" w:hAnsi="宋体"/>
      <w:sz w:val="24"/>
      <w:lang w:val="en-GB"/>
    </w:rPr>
  </w:style>
  <w:style w:type="character" w:styleId="1102" w:customStyle="1">
    <w:name w:val="标题 3 Char"/>
    <w:uiPriority w:val="0"/>
    <w:qFormat/>
    <w:rPr>
      <w:rFonts w:ascii="宋体" w:eastAsia="宋体"/>
      <w:b/>
      <w:sz w:val="24"/>
      <w:u w:val="single"/>
      <w:lang w:val="en-US" w:eastAsia="zh-CN" w:bidi="ar-SA"/>
    </w:rPr>
  </w:style>
  <w:style w:type="character" w:styleId="1103" w:customStyle="1">
    <w:name w:val="font191"/>
    <w:uiPriority w:val="0"/>
    <w:qFormat/>
    <w:rPr>
      <w:rFonts w:hint="eastAsia" w:ascii="宋体" w:hAnsi="宋体" w:eastAsia="宋体" w:cs="宋体"/>
      <w:color w:val="000000"/>
      <w:sz w:val="20"/>
      <w:szCs w:val="20"/>
      <w:u w:val="none"/>
      <w:vertAlign w:val="subscript"/>
    </w:rPr>
  </w:style>
  <w:style w:type="character" w:styleId="1104" w:customStyle="1">
    <w:name w:val="标题 Char"/>
    <w:uiPriority w:val="0"/>
    <w:qFormat/>
    <w:rPr>
      <w:b/>
      <w:sz w:val="32"/>
    </w:rPr>
  </w:style>
  <w:style w:type="character" w:styleId="1105" w:customStyle="1">
    <w:name w:val="title4"/>
    <w:uiPriority w:val="0"/>
    <w:qFormat/>
    <w:rPr>
      <w:b/>
      <w:bCs/>
      <w:color w:val="1d87b3"/>
      <w:sz w:val="15"/>
      <w:szCs w:val="15"/>
    </w:rPr>
  </w:style>
  <w:style w:type="character" w:styleId="1106" w:customStyle="1">
    <w:name w:val="font151"/>
    <w:uiPriority w:val="0"/>
    <w:qFormat/>
    <w:rPr>
      <w:rFonts w:ascii="Calibri" w:hAnsi="Calibri" w:cs="Calibri"/>
      <w:color w:val="000000"/>
      <w:sz w:val="21"/>
      <w:szCs w:val="21"/>
      <w:u w:val="none"/>
    </w:rPr>
  </w:style>
  <w:style w:type="character" w:styleId="1107" w:customStyle="1">
    <w:name w:val="正文重点 Char"/>
    <w:link w:val="1108"/>
    <w:uiPriority w:val="0"/>
    <w:qFormat/>
    <w:rPr>
      <w:b/>
      <w:sz w:val="24"/>
    </w:rPr>
  </w:style>
  <w:style w:type="paragraph" w:styleId="1108" w:customStyle="1">
    <w:name w:val="正文重点"/>
    <w:basedOn w:val="802"/>
    <w:link w:val="1107"/>
    <w:uiPriority w:val="0"/>
    <w:qFormat/>
    <w:pPr>
      <w:ind w:firstLine="482"/>
      <w:jc w:val="left"/>
      <w:spacing w:line="360" w:lineRule="auto"/>
    </w:pPr>
    <w:rPr>
      <w:b/>
      <w:sz w:val="24"/>
      <w:szCs w:val="20"/>
    </w:rPr>
  </w:style>
  <w:style w:type="character" w:styleId="1109" w:customStyle="1">
    <w:name w:val="font01"/>
    <w:uiPriority w:val="0"/>
    <w:qFormat/>
    <w:rPr>
      <w:rFonts w:ascii="Calibri" w:hAnsi="Calibri" w:cs="Calibri"/>
      <w:color w:val="000000"/>
      <w:sz w:val="18"/>
      <w:szCs w:val="18"/>
      <w:u w:val="none"/>
    </w:rPr>
  </w:style>
  <w:style w:type="character" w:styleId="1110" w:customStyle="1">
    <w:name w:val="纯文本 字符1"/>
    <w:uiPriority w:val="0"/>
    <w:qFormat/>
    <w:rPr>
      <w:rFonts w:ascii="宋体" w:hAnsi="Courier New"/>
    </w:rPr>
  </w:style>
  <w:style w:type="character" w:styleId="1111" w:customStyle="1">
    <w:name w:val="段1 Char"/>
    <w:uiPriority w:val="0"/>
    <w:qFormat/>
    <w:rPr>
      <w:rFonts w:ascii="宋体" w:eastAsia="宋体"/>
      <w:sz w:val="24"/>
      <w:lang w:val="en-US" w:eastAsia="zh-CN" w:bidi="ar-SA"/>
    </w:rPr>
  </w:style>
  <w:style w:type="character" w:styleId="1112" w:customStyle="1">
    <w:name w:val="street-address"/>
    <w:uiPriority w:val="0"/>
    <w:qFormat/>
  </w:style>
  <w:style w:type="character" w:styleId="1113" w:customStyle="1">
    <w:name w:val="font41"/>
    <w:uiPriority w:val="0"/>
    <w:qFormat/>
    <w:rPr>
      <w:rFonts w:hint="eastAsia" w:ascii="宋体" w:hAnsi="宋体" w:eastAsia="宋体" w:cs="宋体"/>
      <w:color w:val="000000"/>
      <w:sz w:val="20"/>
      <w:szCs w:val="20"/>
      <w:u w:val="none"/>
    </w:rPr>
  </w:style>
  <w:style w:type="character" w:styleId="1114" w:customStyle="1">
    <w:name w:val="font171"/>
    <w:uiPriority w:val="0"/>
    <w:qFormat/>
    <w:rPr>
      <w:rFonts w:hint="eastAsia" w:ascii="宋体" w:hAnsi="宋体" w:eastAsia="宋体" w:cs="宋体"/>
      <w:color w:val="000000"/>
      <w:sz w:val="21"/>
      <w:szCs w:val="21"/>
      <w:u w:val="none"/>
    </w:rPr>
  </w:style>
  <w:style w:type="paragraph" w:styleId="1115" w:customStyle="1">
    <w:name w:val="Char Char Char Char Char Char Char Char Char Char2"/>
    <w:basedOn w:val="802"/>
    <w:uiPriority w:val="0"/>
    <w:qFormat/>
    <w:rPr>
      <w:rFonts w:ascii="宋体" w:hAnsi="宋体" w:cs="Courier New"/>
      <w:sz w:val="32"/>
      <w:szCs w:val="32"/>
    </w:rPr>
  </w:style>
  <w:style w:type="paragraph" w:styleId="1116" w:customStyle="1">
    <w:name w:val="字元 字元2"/>
    <w:basedOn w:val="802"/>
    <w:uiPriority w:val="0"/>
    <w:qFormat/>
    <w:rPr>
      <w:rFonts w:ascii="Tahoma" w:hAnsi="Tahoma"/>
      <w:sz w:val="24"/>
      <w:szCs w:val="20"/>
    </w:rPr>
  </w:style>
  <w:style w:type="paragraph" w:styleId="1117" w:customStyle="1">
    <w:name w:val="三级条标题"/>
    <w:basedOn w:val="1118"/>
    <w:next w:val="802"/>
    <w:uiPriority w:val="0"/>
    <w:qFormat/>
    <w:pPr>
      <w:numPr>
        <w:ilvl w:val="3"/>
        <w:numId w:val="1"/>
      </w:numPr>
      <w:ind w:left="0" w:hanging="840"/>
      <w:tabs>
        <w:tab w:val="left" w:pos="360" w:leader="none"/>
        <w:tab w:val="left" w:pos="840" w:leader="none"/>
      </w:tabs>
      <w:outlineLvl w:val="3"/>
    </w:pPr>
  </w:style>
  <w:style w:type="paragraph" w:styleId="1118" w:customStyle="1">
    <w:name w:val="二级条标题"/>
    <w:basedOn w:val="1018"/>
    <w:next w:val="802"/>
    <w:uiPriority w:val="0"/>
    <w:qFormat/>
    <w:pPr>
      <w:numPr>
        <w:ilvl w:val="0"/>
        <w:numId w:val="0"/>
      </w:numPr>
      <w:ind w:hanging="840"/>
      <w:outlineLvl w:val="2"/>
    </w:pPr>
    <w:rPr>
      <w:rFonts w:ascii="宋体" w:eastAsia="宋体"/>
      <w:b w:val="0"/>
    </w:rPr>
  </w:style>
  <w:style w:type="paragraph" w:styleId="1119" w:customStyle="1">
    <w:name w:val="表格文字"/>
    <w:basedOn w:val="823"/>
    <w:uiPriority w:val="0"/>
    <w:qFormat/>
    <w:pPr>
      <w:ind w:firstLine="0"/>
      <w:spacing w:before="20" w:after="20" w:line="240" w:lineRule="auto"/>
    </w:pPr>
    <w:rPr>
      <w:rFonts w:ascii="Century Gothic" w:hAnsi="Century Gothic"/>
      <w:sz w:val="20"/>
      <w:szCs w:val="20"/>
    </w:rPr>
  </w:style>
  <w:style w:type="paragraph" w:styleId="1120" w:customStyle="1">
    <w:name w:val="Char Char Char Char Char Char Char2"/>
    <w:basedOn w:val="802"/>
    <w:uiPriority w:val="0"/>
    <w:qFormat/>
    <w:pPr>
      <w:ind w:firstLine="200"/>
      <w:spacing w:line="360" w:lineRule="auto"/>
    </w:pPr>
    <w:rPr>
      <w:rFonts w:eastAsia="仿宋_GB2312"/>
      <w:sz w:val="24"/>
    </w:rPr>
  </w:style>
  <w:style w:type="paragraph" w:styleId="1121" w:customStyle="1">
    <w:name w:val="列出段落1"/>
    <w:basedOn w:val="802"/>
    <w:uiPriority w:val="0"/>
    <w:qFormat/>
    <w:pPr>
      <w:ind w:firstLine="420"/>
    </w:pPr>
    <w:rPr>
      <w:rFonts w:ascii="Calibri" w:hAnsi="Calibri"/>
      <w:szCs w:val="22"/>
    </w:rPr>
  </w:style>
  <w:style w:type="paragraph" w:styleId="1122" w:customStyle="1">
    <w:name w:val="正文列项_字母"/>
    <w:basedOn w:val="80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23" w:customStyle="1">
    <w:name w:val="Char Char Char Char Char Char Char"/>
    <w:basedOn w:val="802"/>
    <w:uiPriority w:val="0"/>
    <w:qFormat/>
    <w:pPr>
      <w:ind w:firstLine="200"/>
      <w:spacing w:line="360" w:lineRule="auto"/>
    </w:pPr>
    <w:rPr>
      <w:rFonts w:eastAsia="仿宋_GB2312"/>
      <w:sz w:val="24"/>
    </w:rPr>
  </w:style>
  <w:style w:type="paragraph" w:styleId="1124" w:customStyle="1">
    <w:name w:val="Char Char Char Char Char Char Char Char Char Char Char Char Char Char Char Char"/>
    <w:basedOn w:val="802"/>
    <w:uiPriority w:val="0"/>
    <w:qFormat/>
    <w:pPr>
      <w:jc w:val="center"/>
      <w:spacing w:after="160" w:line="240" w:lineRule="exact"/>
      <w:widowControl/>
    </w:pPr>
    <w:rPr>
      <w:rFonts w:ascii="宋体" w:hAnsi="宋体"/>
      <w:b/>
      <w:sz w:val="30"/>
      <w:szCs w:val="30"/>
      <w:lang w:eastAsia="en-US"/>
    </w:rPr>
  </w:style>
  <w:style w:type="paragraph" w:styleId="1125" w:customStyle="1">
    <w:name w:val="Char Char Char Char Char Char Char Char Char Char1"/>
    <w:basedOn w:val="802"/>
    <w:uiPriority w:val="0"/>
    <w:qFormat/>
    <w:rPr>
      <w:rFonts w:ascii="宋体" w:hAnsi="宋体" w:cs="Courier New"/>
      <w:sz w:val="32"/>
      <w:szCs w:val="32"/>
    </w:rPr>
  </w:style>
  <w:style w:type="paragraph" w:styleId="1126" w:customStyle="1">
    <w:name w:val="xl47"/>
    <w:basedOn w:val="80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7" w:customStyle="1">
    <w:name w:val="xl43"/>
    <w:basedOn w:val="8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8" w:customStyle="1">
    <w:name w:val="font9"/>
    <w:basedOn w:val="80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29" w:customStyle="1">
    <w:name w:val="font8"/>
    <w:basedOn w:val="802"/>
    <w:uiPriority w:val="0"/>
    <w:qFormat/>
    <w:pPr>
      <w:jc w:val="left"/>
      <w:spacing w:before="100" w:beforeAutospacing="1" w:after="100" w:afterAutospacing="1"/>
      <w:widowControl/>
    </w:pPr>
    <w:rPr>
      <w:sz w:val="36"/>
      <w:szCs w:val="36"/>
    </w:rPr>
  </w:style>
  <w:style w:type="paragraph" w:styleId="1130" w:customStyle="1">
    <w:name w:val="1名"/>
    <w:basedOn w:val="802"/>
    <w:uiPriority w:val="0"/>
    <w:qFormat/>
    <w:pPr>
      <w:numPr>
        <w:ilvl w:val="0"/>
        <w:numId w:val="2"/>
      </w:numPr>
      <w:spacing w:before="120"/>
    </w:pPr>
    <w:rPr>
      <w:rFonts w:ascii="宋体"/>
      <w:sz w:val="28"/>
      <w:szCs w:val="20"/>
    </w:rPr>
  </w:style>
  <w:style w:type="paragraph" w:styleId="1131" w:customStyle="1">
    <w:name w:val="xl49"/>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32" w:customStyle="1">
    <w:name w:val="xl24"/>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3" w:customStyle="1">
    <w:name w:val="Char Char Char Char Char Char Char Char Char Char Char Char Char Char Char Char1"/>
    <w:basedOn w:val="802"/>
    <w:uiPriority w:val="0"/>
    <w:qFormat/>
    <w:pPr>
      <w:jc w:val="center"/>
      <w:spacing w:after="160" w:line="240" w:lineRule="exact"/>
      <w:widowControl/>
    </w:pPr>
    <w:rPr>
      <w:rFonts w:ascii="宋体" w:hAnsi="宋体"/>
      <w:b/>
      <w:sz w:val="30"/>
      <w:szCs w:val="30"/>
      <w:lang w:eastAsia="en-US"/>
    </w:rPr>
  </w:style>
  <w:style w:type="paragraph" w:styleId="1134" w:customStyle="1">
    <w:name w:val="xl35"/>
    <w:basedOn w:val="80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customStyle="1">
    <w:name w:val="xl36"/>
    <w:basedOn w:val="80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6" w:customStyle="1">
    <w:name w:val="样式 宋体 五号 行距: 单倍行距"/>
    <w:basedOn w:val="802"/>
    <w:uiPriority w:val="0"/>
    <w:qFormat/>
    <w:pPr>
      <w:jc w:val="left"/>
    </w:pPr>
    <w:rPr>
      <w:rFonts w:ascii="宋体" w:hAnsi="宋体"/>
      <w:szCs w:val="20"/>
    </w:rPr>
  </w:style>
  <w:style w:type="paragraph" w:styleId="1137" w:customStyle="1">
    <w:name w:val="Char"/>
    <w:basedOn w:val="802"/>
    <w:uiPriority w:val="0"/>
    <w:qFormat/>
    <w:pPr>
      <w:tabs>
        <w:tab w:val="left" w:pos="360" w:leader="none"/>
      </w:tabs>
    </w:pPr>
    <w:rPr>
      <w:sz w:val="24"/>
    </w:rPr>
  </w:style>
  <w:style w:type="paragraph" w:styleId="1138" w:customStyle="1">
    <w:name w:val="xl38"/>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9" w:customStyle="1">
    <w:name w:val="正文须知-3级"/>
    <w:basedOn w:val="802"/>
    <w:uiPriority w:val="0"/>
    <w:qFormat/>
    <w:pPr>
      <w:numPr>
        <w:ilvl w:val="2"/>
        <w:numId w:val="3"/>
      </w:numPr>
      <w:ind w:hanging="355"/>
      <w:spacing w:line="300" w:lineRule="auto"/>
    </w:pPr>
    <w:rPr>
      <w:rFonts w:ascii="宋体" w:hAnsi="Calibri"/>
      <w:sz w:val="24"/>
      <w:szCs w:val="21"/>
    </w:rPr>
  </w:style>
  <w:style w:type="paragraph" w:styleId="1140" w:customStyle="1">
    <w:name w:val="1 Char Char Char Char"/>
    <w:basedOn w:val="802"/>
    <w:uiPriority w:val="0"/>
    <w:qFormat/>
    <w:rPr>
      <w:rFonts w:ascii="Tahoma" w:hAnsi="Tahoma"/>
      <w:sz w:val="24"/>
      <w:szCs w:val="20"/>
    </w:rPr>
  </w:style>
  <w:style w:type="paragraph" w:styleId="1141" w:customStyle="1">
    <w:name w:val="_Style 160"/>
    <w:uiPriority w:val="0"/>
    <w:qFormat/>
    <w:rPr>
      <w:rFonts w:ascii="Times New Roman" w:hAnsi="Times New Roman" w:eastAsia="宋体" w:cs="Times New Roman"/>
      <w:sz w:val="21"/>
      <w:szCs w:val="24"/>
      <w:lang w:val="en-US" w:eastAsia="zh-CN" w:bidi="ar-SA"/>
    </w:rPr>
  </w:style>
  <w:style w:type="paragraph" w:styleId="1142" w:customStyle="1">
    <w:name w:val="四级条标题"/>
    <w:basedOn w:val="1117"/>
    <w:next w:val="802"/>
    <w:uiPriority w:val="0"/>
    <w:qFormat/>
    <w:pPr>
      <w:numPr>
        <w:ilvl w:val="4"/>
      </w:numPr>
      <w:ind w:left="0" w:hanging="840"/>
      <w:outlineLvl w:val="4"/>
    </w:pPr>
  </w:style>
  <w:style w:type="paragraph" w:styleId="1143" w:customStyle="1">
    <w:name w:val="Char1"/>
    <w:basedOn w:val="802"/>
    <w:uiPriority w:val="0"/>
    <w:qFormat/>
    <w:pPr>
      <w:tabs>
        <w:tab w:val="left" w:pos="360" w:leader="none"/>
      </w:tabs>
    </w:pPr>
    <w:rPr>
      <w:sz w:val="24"/>
    </w:rPr>
  </w:style>
  <w:style w:type="paragraph" w:styleId="1144" w:customStyle="1">
    <w:name w:val="xl33"/>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5" w:customStyle="1">
    <w:name w:val="List Paragraph1"/>
    <w:basedOn w:val="802"/>
    <w:uiPriority w:val="0"/>
    <w:qFormat/>
    <w:pPr>
      <w:ind w:firstLine="420"/>
    </w:pPr>
    <w:rPr>
      <w:rFonts w:ascii="Calibri" w:hAnsi="Calibri"/>
      <w:szCs w:val="22"/>
    </w:rPr>
  </w:style>
  <w:style w:type="paragraph" w:styleId="1146" w:customStyle="1">
    <w:name w:val="Char Char1 Char Char Char Char Char Char1"/>
    <w:basedOn w:val="802"/>
    <w:uiPriority w:val="0"/>
    <w:qFormat/>
    <w:pPr>
      <w:jc w:val="left"/>
      <w:spacing w:after="160" w:line="240" w:lineRule="exact"/>
      <w:widowControl/>
    </w:pPr>
    <w:rPr>
      <w:rFonts w:ascii="Verdana" w:hAnsi="Verdana" w:eastAsia="仿宋_GB2312"/>
      <w:sz w:val="24"/>
      <w:szCs w:val="20"/>
      <w:lang w:eastAsia="en-US"/>
    </w:rPr>
  </w:style>
  <w:style w:type="paragraph" w:styleId="1147" w:customStyle="1">
    <w:name w:val="图中文字"/>
    <w:basedOn w:val="802"/>
    <w:uiPriority w:val="0"/>
    <w:qFormat/>
    <w:pPr>
      <w:jc w:val="center"/>
      <w:spacing w:line="0" w:lineRule="atLeast"/>
    </w:pPr>
    <w:rPr>
      <w:sz w:val="24"/>
      <w:szCs w:val="20"/>
    </w:rPr>
  </w:style>
  <w:style w:type="paragraph" w:styleId="1148" w:customStyle="1">
    <w:name w:val="无标题条"/>
    <w:next w:val="802"/>
    <w:uiPriority w:val="0"/>
    <w:qFormat/>
    <w:pPr>
      <w:jc w:val="both"/>
    </w:pPr>
    <w:rPr>
      <w:rFonts w:ascii="Times New Roman" w:hAnsi="Times New Roman" w:eastAsia="宋体" w:cs="Times New Roman"/>
      <w:sz w:val="21"/>
      <w:lang w:val="en-US" w:eastAsia="zh-CN" w:bidi="ar-SA"/>
    </w:rPr>
  </w:style>
  <w:style w:type="paragraph" w:styleId="1149" w:customStyle="1">
    <w:name w:val="正文须知-2级"/>
    <w:basedOn w:val="802"/>
    <w:uiPriority w:val="0"/>
    <w:qFormat/>
    <w:pPr>
      <w:numPr>
        <w:ilvl w:val="1"/>
        <w:numId w:val="3"/>
      </w:numPr>
      <w:spacing w:line="300" w:lineRule="auto"/>
    </w:pPr>
    <w:rPr>
      <w:rFonts w:ascii="宋体" w:hAnsi="Calibri"/>
      <w:sz w:val="24"/>
      <w:szCs w:val="21"/>
    </w:rPr>
  </w:style>
  <w:style w:type="paragraph" w:styleId="1150" w:customStyle="1">
    <w:name w:val="正文列项_数字"/>
    <w:basedOn w:val="80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1" w:customStyle="1">
    <w:name w:val="xl4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52" w:customStyle="1">
    <w:name w:val="项目编号1"/>
    <w:basedOn w:val="802"/>
    <w:uiPriority w:val="0"/>
    <w:qFormat/>
    <w:pPr>
      <w:numPr>
        <w:ilvl w:val="0"/>
        <w:numId w:val="4"/>
      </w:numPr>
      <w:spacing w:before="100" w:beforeAutospacing="1" w:after="100" w:afterAutospacing="1" w:line="360" w:lineRule="auto"/>
    </w:pPr>
    <w:rPr>
      <w:sz w:val="24"/>
    </w:rPr>
  </w:style>
  <w:style w:type="paragraph" w:styleId="1153" w:customStyle="1">
    <w:name w:val="xl3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4" w:customStyle="1">
    <w:name w:val="图例"/>
    <w:basedOn w:val="802"/>
    <w:uiPriority w:val="0"/>
    <w:qFormat/>
    <w:pPr>
      <w:jc w:val="center"/>
      <w:spacing w:before="120" w:after="120" w:line="360" w:lineRule="auto"/>
    </w:pPr>
    <w:rPr>
      <w:rFonts w:eastAsia="仿宋_GB2312"/>
      <w:b/>
      <w:sz w:val="24"/>
      <w:szCs w:val="20"/>
    </w:rPr>
  </w:style>
  <w:style w:type="paragraph" w:styleId="1155" w:customStyle="1">
    <w:name w:val="xl34"/>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56" w:customStyle="1">
    <w:name w:val="xl26"/>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57" w:customStyle="1">
    <w:name w:val="Char Char1 Char Char Char Char Char Char"/>
    <w:basedOn w:val="802"/>
    <w:uiPriority w:val="0"/>
    <w:qFormat/>
    <w:pPr>
      <w:jc w:val="left"/>
      <w:spacing w:after="160" w:line="240" w:lineRule="exact"/>
      <w:widowControl/>
    </w:pPr>
    <w:rPr>
      <w:rFonts w:ascii="Verdana" w:hAnsi="Verdana" w:eastAsia="仿宋_GB2312"/>
      <w:sz w:val="24"/>
      <w:szCs w:val="20"/>
      <w:lang w:eastAsia="en-US"/>
    </w:rPr>
  </w:style>
  <w:style w:type="paragraph" w:styleId="1158" w:customStyle="1">
    <w:name w:val="xl32"/>
    <w:basedOn w:val="80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正文文本样式 加粗"/>
    <w:basedOn w:val="1160"/>
    <w:uiPriority w:val="0"/>
    <w:qFormat/>
    <w:rPr>
      <w:b/>
    </w:rPr>
  </w:style>
  <w:style w:type="paragraph" w:styleId="1160" w:customStyle="1">
    <w:name w:val="正文文本样式"/>
    <w:basedOn w:val="802"/>
    <w:uiPriority w:val="0"/>
    <w:qFormat/>
    <w:pPr>
      <w:ind w:firstLine="482"/>
      <w:spacing w:line="360" w:lineRule="auto"/>
    </w:pPr>
    <w:rPr>
      <w:rFonts w:cs="宋体"/>
      <w:sz w:val="24"/>
      <w:szCs w:val="20"/>
    </w:rPr>
  </w:style>
  <w:style w:type="paragraph" w:styleId="1161" w:customStyle="1">
    <w:name w:val="Char3"/>
    <w:basedOn w:val="802"/>
    <w:uiPriority w:val="0"/>
    <w:qFormat/>
    <w:pPr>
      <w:tabs>
        <w:tab w:val="left" w:pos="360" w:leader="none"/>
      </w:tabs>
    </w:pPr>
    <w:rPr>
      <w:sz w:val="24"/>
    </w:rPr>
  </w:style>
  <w:style w:type="paragraph" w:styleId="1162" w:customStyle="1">
    <w:name w:val="正文须知-1级"/>
    <w:basedOn w:val="802"/>
    <w:next w:val="802"/>
    <w:uiPriority w:val="0"/>
    <w:qFormat/>
    <w:pPr>
      <w:numPr>
        <w:ilvl w:val="0"/>
        <w:numId w:val="3"/>
      </w:numPr>
      <w:spacing w:line="300" w:lineRule="auto"/>
    </w:pPr>
    <w:rPr>
      <w:rFonts w:ascii="宋体" w:hAnsi="Calibri"/>
      <w:sz w:val="24"/>
      <w:szCs w:val="21"/>
    </w:rPr>
  </w:style>
  <w:style w:type="paragraph" w:styleId="1163" w:customStyle="1">
    <w:name w:val="Char Char1"/>
    <w:basedOn w:val="818"/>
    <w:uiPriority w:val="0"/>
    <w:qFormat/>
    <w:rPr>
      <w:rFonts w:ascii="Tahoma" w:hAnsi="Tahoma"/>
      <w:sz w:val="24"/>
    </w:rPr>
  </w:style>
  <w:style w:type="paragraph" w:styleId="1164" w:customStyle="1">
    <w:name w:val="列出段落2"/>
    <w:basedOn w:val="802"/>
    <w:uiPriority w:val="0"/>
    <w:qFormat/>
    <w:pPr>
      <w:ind w:firstLine="420"/>
    </w:pPr>
    <w:rPr>
      <w:rFonts w:ascii="Calibri" w:hAnsi="Calibri"/>
      <w:szCs w:val="22"/>
    </w:rPr>
  </w:style>
  <w:style w:type="paragraph" w:styleId="1165" w:customStyle="1">
    <w:name w:val="xl41"/>
    <w:basedOn w:val="80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6" w:customStyle="1">
    <w:name w:val="项目编号2"/>
    <w:basedOn w:val="1152"/>
    <w:uiPriority w:val="0"/>
    <w:qFormat/>
    <w:pPr>
      <w:numPr>
        <w:numId w:val="5"/>
      </w:numPr>
    </w:pPr>
  </w:style>
  <w:style w:type="paragraph" w:styleId="1167" w:customStyle="1">
    <w:name w:val="图文"/>
    <w:basedOn w:val="802"/>
    <w:uiPriority w:val="0"/>
    <w:qFormat/>
    <w:pPr>
      <w:spacing w:after="50" w:line="360" w:lineRule="auto"/>
    </w:pPr>
    <w:rPr>
      <w:sz w:val="24"/>
    </w:rPr>
  </w:style>
  <w:style w:type="paragraph" w:styleId="1168" w:customStyle="1">
    <w:name w:val="正文 + 宋体"/>
    <w:basedOn w:val="802"/>
    <w:uiPriority w:val="0"/>
    <w:qFormat/>
    <w:pPr>
      <w:ind w:left="360" w:hanging="360"/>
      <w:jc w:val="left"/>
      <w:widowControl/>
    </w:pPr>
    <w:rPr>
      <w:rFonts w:ascii="宋体" w:hAnsi="宋体" w:cs="宋体"/>
      <w:b/>
      <w:bCs/>
      <w:color w:val="000000"/>
      <w:sz w:val="18"/>
      <w:szCs w:val="18"/>
    </w:rPr>
  </w:style>
  <w:style w:type="paragraph" w:styleId="1169" w:customStyle="1">
    <w:name w:val="字元 字元"/>
    <w:basedOn w:val="802"/>
    <w:uiPriority w:val="0"/>
    <w:qFormat/>
    <w:rPr>
      <w:rFonts w:ascii="Tahoma" w:hAnsi="Tahoma"/>
      <w:sz w:val="24"/>
      <w:szCs w:val="20"/>
    </w:rPr>
  </w:style>
  <w:style w:type="paragraph" w:styleId="1170" w:customStyle="1">
    <w:name w:val="xl4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1" w:customStyle="1">
    <w:name w:val="xl42"/>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72" w:customStyle="1">
    <w:name w:val="xl45"/>
    <w:basedOn w:val="8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3" w:customStyle="1">
    <w:name w:val="Char Char Char Char Char Char Char Char Char Char"/>
    <w:basedOn w:val="802"/>
    <w:uiPriority w:val="0"/>
    <w:qFormat/>
  </w:style>
  <w:style w:type="paragraph" w:styleId="1174" w:customStyle="1">
    <w:name w:val="Char21"/>
    <w:basedOn w:val="802"/>
    <w:uiPriority w:val="0"/>
    <w:qFormat/>
    <w:rPr>
      <w:rFonts w:ascii="Tahoma" w:hAnsi="Tahoma"/>
      <w:sz w:val="24"/>
      <w:szCs w:val="20"/>
    </w:rPr>
  </w:style>
  <w:style w:type="paragraph" w:styleId="1175" w:customStyle="1">
    <w:name w:val="xl37"/>
    <w:basedOn w:val="80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customStyle="1">
    <w:name w:val="项目符号1"/>
    <w:basedOn w:val="1160"/>
    <w:uiPriority w:val="0"/>
    <w:qFormat/>
    <w:pPr>
      <w:ind w:left="-25" w:firstLine="0"/>
    </w:pPr>
  </w:style>
  <w:style w:type="paragraph" w:styleId="1177" w:customStyle="1">
    <w:name w:val="Char Char Char"/>
    <w:basedOn w:val="802"/>
    <w:uiPriority w:val="0"/>
    <w:qFormat/>
    <w:rPr>
      <w:rFonts w:ascii="Tahoma" w:hAnsi="Tahoma"/>
      <w:sz w:val="24"/>
      <w:szCs w:val="20"/>
    </w:rPr>
  </w:style>
  <w:style w:type="paragraph" w:styleId="1178" w:customStyle="1">
    <w:name w:val="xl51"/>
    <w:basedOn w:val="80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font5"/>
    <w:basedOn w:val="802"/>
    <w:uiPriority w:val="0"/>
    <w:qFormat/>
    <w:pPr>
      <w:jc w:val="left"/>
      <w:spacing w:before="100" w:beforeAutospacing="1" w:after="100" w:afterAutospacing="1"/>
      <w:widowControl/>
    </w:pPr>
    <w:rPr>
      <w:rFonts w:ascii="宋体" w:hAnsi="宋体" w:cs="宋体"/>
      <w:sz w:val="18"/>
      <w:szCs w:val="18"/>
    </w:rPr>
  </w:style>
  <w:style w:type="paragraph" w:styleId="1181" w:customStyle="1">
    <w:name w:val="background1"/>
    <w:basedOn w:val="802"/>
    <w:uiPriority w:val="0"/>
    <w:qFormat/>
    <w:pPr>
      <w:jc w:val="left"/>
      <w:spacing w:before="100" w:beforeAutospacing="1" w:after="100" w:afterAutospacing="1"/>
      <w:widowControl/>
    </w:pPr>
    <w:rPr>
      <w:rFonts w:ascii="宋体" w:hAnsi="宋体" w:cs="宋体"/>
      <w:sz w:val="24"/>
    </w:rPr>
  </w:style>
  <w:style w:type="paragraph" w:styleId="1182" w:customStyle="1">
    <w:name w:val="Char3 Char Char Char1"/>
    <w:basedOn w:val="802"/>
    <w:uiPriority w:val="0"/>
    <w:qFormat/>
    <w:rPr>
      <w:rFonts w:ascii="Tahoma" w:hAnsi="Tahoma"/>
      <w:sz w:val="24"/>
      <w:szCs w:val="20"/>
    </w:rPr>
  </w:style>
  <w:style w:type="paragraph" w:styleId="1183" w:customStyle="1">
    <w:name w:val="default"/>
    <w:basedOn w:val="802"/>
    <w:uiPriority w:val="0"/>
    <w:qFormat/>
    <w:pPr>
      <w:jc w:val="left"/>
      <w:spacing w:before="100" w:beforeAutospacing="1" w:after="100" w:afterAutospacing="1"/>
      <w:widowControl/>
    </w:pPr>
    <w:rPr>
      <w:rFonts w:ascii="宋体" w:hAnsi="宋体" w:cs="宋体"/>
      <w:sz w:val="24"/>
    </w:rPr>
  </w:style>
  <w:style w:type="paragraph" w:styleId="1184" w:customStyle="1">
    <w:name w:val="Char Char Char Char Char Char Char1"/>
    <w:basedOn w:val="802"/>
    <w:uiPriority w:val="0"/>
    <w:qFormat/>
    <w:pPr>
      <w:ind w:firstLine="200"/>
      <w:spacing w:line="360" w:lineRule="auto"/>
    </w:pPr>
    <w:rPr>
      <w:rFonts w:eastAsia="仿宋_GB2312"/>
      <w:sz w:val="24"/>
    </w:rPr>
  </w:style>
  <w:style w:type="paragraph" w:styleId="1185" w:customStyle="1">
    <w:name w:val="xl31"/>
    <w:basedOn w:val="80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6" w:customStyle="1">
    <w:name w:val="默认段落字体 Para Char Char Char Char"/>
    <w:basedOn w:val="802"/>
    <w:uiPriority w:val="0"/>
    <w:qFormat/>
    <w:rPr>
      <w:rFonts w:ascii="Arial" w:hAnsi="Arial" w:cs="Arial"/>
      <w:szCs w:val="21"/>
    </w:rPr>
  </w:style>
  <w:style w:type="paragraph" w:styleId="1187" w:customStyle="1">
    <w:name w:val="xl29"/>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8" w:customStyle="1">
    <w:name w:val="文档正文"/>
    <w:basedOn w:val="802"/>
    <w:uiPriority w:val="0"/>
    <w:qFormat/>
    <w:pPr>
      <w:spacing w:before="120" w:after="120" w:line="180" w:lineRule="auto"/>
    </w:pPr>
    <w:rPr>
      <w:rFonts w:ascii="Arial" w:hAnsi="Arial"/>
      <w:szCs w:val="20"/>
    </w:rPr>
  </w:style>
  <w:style w:type="paragraph" w:styleId="1189" w:customStyle="1">
    <w:name w:val="xl46"/>
    <w:basedOn w:val="80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0" w:customStyle="1">
    <w:name w:val="修订1"/>
    <w:uiPriority w:val="0"/>
    <w:qFormat/>
    <w:rPr>
      <w:rFonts w:ascii="Times New Roman" w:hAnsi="Times New Roman" w:eastAsia="宋体" w:cs="Times New Roman"/>
      <w:sz w:val="21"/>
      <w:szCs w:val="24"/>
      <w:lang w:val="en-US" w:eastAsia="zh-CN" w:bidi="ar-SA"/>
    </w:rPr>
  </w:style>
  <w:style w:type="paragraph" w:styleId="1191" w:customStyle="1">
    <w:name w:val="xl2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2" w:customStyle="1">
    <w:name w:val="Char Char Char1 Char2"/>
    <w:basedOn w:val="802"/>
    <w:uiPriority w:val="0"/>
    <w:qFormat/>
    <w:rPr>
      <w:rFonts w:ascii="Tahoma" w:hAnsi="Tahoma"/>
      <w:sz w:val="24"/>
      <w:szCs w:val="20"/>
    </w:rPr>
  </w:style>
  <w:style w:type="paragraph" w:styleId="1193" w:customStyle="1">
    <w:name w:val="Char Char41"/>
    <w:basedOn w:val="802"/>
    <w:uiPriority w:val="0"/>
    <w:qFormat/>
    <w:pPr>
      <w:jc w:val="center"/>
      <w:spacing w:line="400" w:lineRule="exact"/>
      <w:widowControl/>
    </w:pPr>
  </w:style>
  <w:style w:type="paragraph" w:styleId="1194" w:customStyle="1">
    <w:name w:val="Char Char Char1"/>
    <w:basedOn w:val="802"/>
    <w:uiPriority w:val="0"/>
    <w:qFormat/>
    <w:rPr>
      <w:rFonts w:ascii="Tahoma" w:hAnsi="Tahoma"/>
      <w:sz w:val="24"/>
      <w:szCs w:val="20"/>
    </w:rPr>
  </w:style>
  <w:style w:type="paragraph" w:styleId="1195" w:customStyle="1">
    <w:name w:val="xl52"/>
    <w:basedOn w:val="80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96" w:customStyle="1">
    <w:name w:val="样式2"/>
    <w:basedOn w:val="849"/>
    <w:uiPriority w:val="0"/>
    <w:qFormat/>
    <w:pPr>
      <w:jc w:val="center"/>
      <w:spacing w:line="360" w:lineRule="auto"/>
    </w:pPr>
    <w:rPr>
      <w:sz w:val="24"/>
    </w:rPr>
  </w:style>
  <w:style w:type="paragraph" w:styleId="1197" w:customStyle="1">
    <w:name w:val="xl53"/>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8" w:customStyle="1">
    <w:name w:val="五级条标题"/>
    <w:basedOn w:val="1142"/>
    <w:next w:val="802"/>
    <w:uiPriority w:val="0"/>
    <w:qFormat/>
    <w:pPr>
      <w:numPr>
        <w:ilvl w:val="5"/>
      </w:numPr>
      <w:ind w:left="0" w:hanging="840"/>
      <w:outlineLvl w:val="5"/>
    </w:pPr>
  </w:style>
  <w:style w:type="paragraph" w:styleId="1199" w:customStyle="1">
    <w:name w:val="Char Char Char1 Char"/>
    <w:basedOn w:val="802"/>
    <w:uiPriority w:val="0"/>
    <w:qFormat/>
    <w:rPr>
      <w:rFonts w:ascii="Tahoma" w:hAnsi="Tahoma"/>
      <w:sz w:val="24"/>
      <w:szCs w:val="20"/>
    </w:rPr>
  </w:style>
  <w:style w:type="paragraph" w:styleId="1200" w:customStyle="1">
    <w:name w:val="Char2 Char Char Char Char Char Char"/>
    <w:basedOn w:val="802"/>
    <w:uiPriority w:val="0"/>
    <w:qFormat/>
    <w:pPr>
      <w:jc w:val="center"/>
      <w:spacing w:line="400" w:lineRule="exact"/>
      <w:widowControl/>
    </w:pPr>
  </w:style>
  <w:style w:type="paragraph" w:styleId="1201" w:customStyle="1">
    <w:name w:val="font6"/>
    <w:basedOn w:val="802"/>
    <w:uiPriority w:val="0"/>
    <w:qFormat/>
    <w:pPr>
      <w:jc w:val="left"/>
      <w:spacing w:before="100" w:beforeAutospacing="1" w:after="100" w:afterAutospacing="1"/>
      <w:widowControl/>
    </w:pPr>
    <w:rPr>
      <w:rFonts w:ascii="宋体" w:hAnsi="宋体" w:cs="宋体"/>
      <w:sz w:val="20"/>
      <w:szCs w:val="20"/>
    </w:rPr>
  </w:style>
  <w:style w:type="paragraph" w:styleId="1202" w:customStyle="1">
    <w:name w:val="标题1-附件"/>
    <w:basedOn w:val="803"/>
    <w:uiPriority w:val="0"/>
    <w:qFormat/>
    <w:pPr>
      <w:jc w:val="left"/>
    </w:pPr>
    <w:rPr>
      <w:sz w:val="24"/>
      <w:szCs w:val="24"/>
    </w:rPr>
  </w:style>
  <w:style w:type="paragraph" w:styleId="1203" w:customStyle="1">
    <w:name w:val="缺省文本"/>
    <w:basedOn w:val="802"/>
    <w:uiPriority w:val="0"/>
    <w:qFormat/>
    <w:pPr>
      <w:jc w:val="left"/>
    </w:pPr>
    <w:rPr>
      <w:sz w:val="24"/>
    </w:rPr>
  </w:style>
  <w:style w:type="paragraph" w:styleId="1204" w:customStyle="1">
    <w:name w:val="xl23"/>
    <w:basedOn w:val="802"/>
    <w:uiPriority w:val="0"/>
    <w:qFormat/>
    <w:pPr>
      <w:spacing w:before="100" w:beforeAutospacing="1" w:after="100" w:afterAutospacing="1" w:line="360" w:lineRule="auto"/>
      <w:widowControl/>
    </w:pPr>
    <w:rPr>
      <w:sz w:val="24"/>
      <w:szCs w:val="20"/>
    </w:rPr>
  </w:style>
  <w:style w:type="paragraph" w:styleId="1205" w:customStyle="1">
    <w:name w:val="xl27"/>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6" w:customStyle="1">
    <w:name w:val="22222222222222"/>
    <w:basedOn w:val="802"/>
    <w:uiPriority w:val="0"/>
    <w:qFormat/>
    <w:pPr>
      <w:ind w:firstLine="480"/>
      <w:jc w:val="left"/>
      <w:spacing w:line="360" w:lineRule="auto"/>
      <w:widowControl/>
    </w:pPr>
    <w:rPr>
      <w:color w:val="ff0000"/>
      <w:sz w:val="24"/>
      <w:szCs w:val="20"/>
    </w:rPr>
  </w:style>
  <w:style w:type="paragraph" w:styleId="1207" w:customStyle="1">
    <w:name w:val="Char2"/>
    <w:basedOn w:val="802"/>
    <w:uiPriority w:val="0"/>
    <w:qFormat/>
    <w:rPr>
      <w:rFonts w:ascii="Tahoma" w:hAnsi="Tahoma"/>
      <w:sz w:val="24"/>
      <w:szCs w:val="20"/>
    </w:rPr>
  </w:style>
  <w:style w:type="paragraph" w:styleId="1208" w:customStyle="1">
    <w:name w:val="表格1"/>
    <w:basedOn w:val="802"/>
    <w:uiPriority w:val="0"/>
    <w:qFormat/>
    <w:pPr>
      <w:ind w:firstLine="480"/>
      <w:jc w:val="center"/>
    </w:pPr>
    <w:rPr>
      <w:sz w:val="24"/>
      <w:szCs w:val="20"/>
    </w:rPr>
  </w:style>
  <w:style w:type="paragraph" w:styleId="1209" w:customStyle="1">
    <w:name w:val="正文缩进2"/>
    <w:basedOn w:val="802"/>
    <w:uiPriority w:val="0"/>
    <w:qFormat/>
    <w:pPr>
      <w:ind w:firstLine="567"/>
      <w:spacing w:line="480" w:lineRule="exact"/>
      <w:widowControl/>
    </w:pPr>
    <w:rPr>
      <w:rFonts w:ascii="宋体"/>
      <w:color w:val="000000"/>
      <w:sz w:val="28"/>
      <w:szCs w:val="20"/>
      <w:lang w:val="zh-CN"/>
    </w:rPr>
  </w:style>
  <w:style w:type="paragraph" w:styleId="1210" w:customStyle="1">
    <w:name w:val="Table Paragraph"/>
    <w:basedOn w:val="802"/>
    <w:uiPriority w:val="1"/>
    <w:qFormat/>
    <w:pPr>
      <w:jc w:val="left"/>
    </w:pPr>
    <w:rPr>
      <w:rFonts w:ascii="宋体" w:hAnsi="宋体" w:cs="宋体"/>
      <w:sz w:val="22"/>
      <w:szCs w:val="22"/>
      <w:lang w:eastAsia="en-US"/>
    </w:rPr>
  </w:style>
  <w:style w:type="paragraph" w:styleId="1211" w:customStyle="1">
    <w:name w:val="正文文本缩进2"/>
    <w:basedOn w:val="802"/>
    <w:uiPriority w:val="0"/>
    <w:qFormat/>
    <w:pPr>
      <w:ind w:firstLine="480"/>
      <w:spacing w:line="480" w:lineRule="exact"/>
    </w:pPr>
    <w:rPr>
      <w:rFonts w:ascii="宋体" w:hAnsi="宋体"/>
      <w:sz w:val="24"/>
      <w:lang w:val="zh-CN"/>
    </w:rPr>
  </w:style>
  <w:style w:type="paragraph" w:styleId="1212" w:customStyle="1">
    <w:name w:val="Char22"/>
    <w:basedOn w:val="802"/>
    <w:uiPriority w:val="0"/>
    <w:qFormat/>
    <w:rPr>
      <w:rFonts w:ascii="Tahoma" w:hAnsi="Tahoma"/>
      <w:sz w:val="24"/>
      <w:szCs w:val="20"/>
    </w:rPr>
  </w:style>
  <w:style w:type="paragraph" w:styleId="1213" w:customStyle="1">
    <w:name w:val="字元 字元1"/>
    <w:basedOn w:val="802"/>
    <w:uiPriority w:val="0"/>
    <w:qFormat/>
    <w:rPr>
      <w:rFonts w:ascii="Tahoma" w:hAnsi="Tahoma"/>
      <w:sz w:val="24"/>
      <w:szCs w:val="20"/>
    </w:rPr>
  </w:style>
  <w:style w:type="paragraph" w:styleId="1214" w:customStyle="1">
    <w:name w:val="正文 + 楷体_GB2312"/>
    <w:basedOn w:val="802"/>
    <w:uiPriority w:val="0"/>
    <w:qFormat/>
    <w:pPr>
      <w:jc w:val="left"/>
      <w:widowControl/>
    </w:pPr>
    <w:rPr>
      <w:rFonts w:ascii="楷体_GB2312" w:eastAsia="楷体_GB2312" w:cs="Arial"/>
      <w:sz w:val="24"/>
    </w:rPr>
  </w:style>
  <w:style w:type="paragraph" w:styleId="1215" w:customStyle="1">
    <w:name w:val="xl50"/>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6" w:customStyle="1">
    <w:name w:val="Char Char1 Char Char Char Char Char Char Char Char"/>
    <w:basedOn w:val="802"/>
    <w:uiPriority w:val="0"/>
    <w:qFormat/>
    <w:pPr>
      <w:jc w:val="left"/>
      <w:spacing w:after="160" w:line="240" w:lineRule="exact"/>
      <w:widowControl/>
    </w:pPr>
    <w:rPr>
      <w:rFonts w:ascii="Verdana" w:hAnsi="Verdana"/>
      <w:sz w:val="20"/>
      <w:szCs w:val="20"/>
      <w:lang w:eastAsia="en-US"/>
    </w:rPr>
  </w:style>
  <w:style w:type="paragraph" w:styleId="1217" w:customStyle="1">
    <w:name w:val="font7"/>
    <w:basedOn w:val="802"/>
    <w:uiPriority w:val="0"/>
    <w:qFormat/>
    <w:pPr>
      <w:jc w:val="left"/>
      <w:spacing w:before="100" w:beforeAutospacing="1" w:after="100" w:afterAutospacing="1"/>
      <w:widowControl/>
    </w:pPr>
    <w:rPr>
      <w:rFonts w:eastAsia="Arial Unicode MS"/>
      <w:b/>
      <w:bCs/>
      <w:color w:val="000000"/>
      <w:sz w:val="20"/>
      <w:szCs w:val="20"/>
    </w:rPr>
  </w:style>
  <w:style w:type="paragraph" w:styleId="121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19" w:customStyle="1">
    <w:name w:val="xl44"/>
    <w:basedOn w:val="80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20" w:customStyle="1">
    <w:name w:val="Char2 Char Char Char Char Char Char1"/>
    <w:basedOn w:val="802"/>
    <w:uiPriority w:val="0"/>
    <w:qFormat/>
    <w:pPr>
      <w:jc w:val="center"/>
      <w:spacing w:line="400" w:lineRule="exact"/>
      <w:widowControl/>
    </w:pPr>
  </w:style>
  <w:style w:type="paragraph" w:styleId="1221" w:customStyle="1">
    <w:name w:val="Char1 Char Char Char1"/>
    <w:basedOn w:val="802"/>
    <w:uiPriority w:val="0"/>
    <w:qFormat/>
    <w:rPr>
      <w:rFonts w:ascii="Tahoma" w:hAnsi="Tahoma" w:cs="仿宋_GB2312"/>
      <w:sz w:val="24"/>
      <w:szCs w:val="28"/>
    </w:rPr>
  </w:style>
  <w:style w:type="paragraph" w:styleId="1222" w:customStyle="1">
    <w:name w:val="Char3 Char Char Char2"/>
    <w:basedOn w:val="802"/>
    <w:uiPriority w:val="0"/>
    <w:qFormat/>
    <w:rPr>
      <w:rFonts w:ascii="Tahoma" w:hAnsi="Tahoma"/>
      <w:sz w:val="24"/>
      <w:szCs w:val="20"/>
    </w:rPr>
  </w:style>
  <w:style w:type="paragraph" w:styleId="1223" w:customStyle="1">
    <w:name w:val="xl39"/>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4" w:customStyle="1">
    <w:name w:val="项目编号3"/>
    <w:basedOn w:val="1160"/>
    <w:uiPriority w:val="0"/>
    <w:qFormat/>
    <w:pPr>
      <w:numPr>
        <w:ilvl w:val="0"/>
        <w:numId w:val="6"/>
      </w:numPr>
    </w:pPr>
  </w:style>
  <w:style w:type="paragraph" w:styleId="1225" w:customStyle="1">
    <w:name w:val="样式 标题 2 + 宋体 五号 行距: 单倍行距"/>
    <w:basedOn w:val="804"/>
    <w:uiPriority w:val="0"/>
    <w:qFormat/>
    <w:pPr>
      <w:numPr>
        <w:ilvl w:val="1"/>
        <w:numId w:val="7"/>
      </w:numPr>
      <w:jc w:val="left"/>
      <w:spacing w:before="260" w:after="260" w:line="240" w:lineRule="auto"/>
    </w:pPr>
    <w:rPr>
      <w:rFonts w:ascii="宋体" w:hAnsi="宋体" w:eastAsia="宋体"/>
      <w:bCs/>
      <w:sz w:val="21"/>
    </w:rPr>
  </w:style>
  <w:style w:type="paragraph" w:styleId="1226" w:customStyle="1">
    <w:name w:val="Char3 Char Char Char"/>
    <w:basedOn w:val="802"/>
    <w:uiPriority w:val="0"/>
    <w:qFormat/>
    <w:rPr>
      <w:rFonts w:ascii="Tahoma" w:hAnsi="Tahoma"/>
      <w:sz w:val="24"/>
      <w:szCs w:val="20"/>
    </w:rPr>
  </w:style>
  <w:style w:type="paragraph" w:styleId="1227" w:customStyle="1">
    <w:name w:val="Char Char Char1 Char1"/>
    <w:basedOn w:val="802"/>
    <w:uiPriority w:val="0"/>
    <w:qFormat/>
    <w:rPr>
      <w:rFonts w:ascii="Tahoma" w:hAnsi="Tahoma"/>
      <w:sz w:val="24"/>
      <w:szCs w:val="20"/>
    </w:rPr>
  </w:style>
  <w:style w:type="paragraph" w:styleId="1228" w:customStyle="1">
    <w:name w:val="Char Char4"/>
    <w:basedOn w:val="802"/>
    <w:uiPriority w:val="0"/>
    <w:qFormat/>
    <w:pPr>
      <w:jc w:val="center"/>
      <w:spacing w:line="400" w:lineRule="exact"/>
      <w:widowControl/>
    </w:pPr>
  </w:style>
  <w:style w:type="paragraph" w:styleId="1229" w:customStyle="1">
    <w:name w:val="Char Char Char2"/>
    <w:basedOn w:val="802"/>
    <w:uiPriority w:val="0"/>
    <w:qFormat/>
    <w:rPr>
      <w:rFonts w:ascii="Tahoma" w:hAnsi="Tahoma"/>
      <w:sz w:val="24"/>
      <w:szCs w:val="20"/>
    </w:rPr>
  </w:style>
  <w:style w:type="table" w:styleId="1230"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31" w:customStyle="1">
    <w:name w:val="列出段落3"/>
    <w:basedOn w:val="802"/>
    <w:uiPriority w:val="34"/>
    <w:qFormat/>
    <w:pPr>
      <w:ind w:firstLine="420"/>
    </w:pPr>
    <w:rPr>
      <w:rFonts w:ascii="Calibri" w:hAnsi="Calibri"/>
      <w:szCs w:val="22"/>
    </w:rPr>
  </w:style>
  <w:style w:type="character" w:styleId="1232" w:customStyle="1">
    <w:name w:val="active15"/>
    <w:basedOn w:val="812"/>
    <w:uiPriority w:val="0"/>
    <w:qFormat/>
    <w:rPr>
      <w:color w:val="ffffff"/>
      <w:shd w:val="clear" w:color="auto" w:fill="0f5bb9"/>
    </w:rPr>
  </w:style>
  <w:style w:type="paragraph" w:styleId="1233" w:customStyle="1">
    <w:name w:val="纯文本1"/>
    <w:basedOn w:val="802"/>
    <w:next w:val="1076"/>
    <w:uiPriority w:val="99"/>
    <w:qFormat/>
    <w:rPr>
      <w:rFonts w:ascii="宋体" w:hAnsi="Courier New"/>
      <w:szCs w:val="20"/>
    </w:rPr>
  </w:style>
  <w:style w:type="character" w:styleId="1234" w:customStyle="1">
    <w:name w:val="active"/>
    <w:basedOn w:val="812"/>
    <w:uiPriority w:val="0"/>
    <w:qFormat/>
    <w:rPr>
      <w:color w:val="ffffff"/>
      <w:shd w:val="clear" w:color="auto" w:fill="0f5bb9"/>
    </w:rPr>
  </w:style>
  <w:style w:type="paragraph" w:styleId="1235" w:customStyle="1">
    <w:name w:val="纯文本11"/>
    <w:basedOn w:val="802"/>
    <w:uiPriority w:val="0"/>
    <w:unhideWhenUsed/>
    <w:qFormat/>
    <w:rPr>
      <w:rFonts w:ascii="宋体" w:hAnsi="Courier New"/>
      <w:sz w:val="20"/>
      <w:szCs w:val="20"/>
    </w:rPr>
  </w:style>
  <w:style w:type="paragraph" w:styleId="1236" w:customStyle="1">
    <w:name w:val="WPSOffice手动目录 1"/>
    <w:uiPriority w:val="0"/>
    <w:qFormat/>
    <w:rPr>
      <w:rFonts w:ascii="Times New Roman" w:hAnsi="Times New Roman" w:eastAsia="宋体" w:cs="Times New Roman"/>
      <w:lang w:val="en-US" w:eastAsia="zh-CN" w:bidi="ar-SA"/>
    </w:rPr>
  </w:style>
  <w:style w:type="paragraph" w:styleId="1237" w:customStyle="1">
    <w:name w:val="标题 11"/>
    <w:basedOn w:val="1238"/>
    <w:next w:val="802"/>
    <w:uiPriority w:val="0"/>
    <w:qFormat/>
    <w:pPr>
      <w:numPr>
        <w:ilvl w:val="0"/>
        <w:numId w:val="8"/>
      </w:numPr>
      <w:jc w:val="center"/>
      <w:keepNext/>
      <w:tabs>
        <w:tab w:val="left" w:pos="9420" w:leader="none"/>
      </w:tabs>
      <w:outlineLvl w:val="0"/>
    </w:pPr>
    <w:rPr>
      <w:rFonts w:ascii="仿宋_GB2312" w:eastAsia="仿宋_GB2312"/>
      <w:sz w:val="28"/>
    </w:rPr>
  </w:style>
  <w:style w:type="paragraph" w:styleId="1238" w:customStyle="1">
    <w:name w:val="文本块1"/>
    <w:basedOn w:val="802"/>
    <w:uiPriority w:val="0"/>
    <w:qFormat/>
    <w:pPr>
      <w:ind w:left="840" w:right="210"/>
      <w:tabs>
        <w:tab w:val="left" w:pos="9420" w:leader="none"/>
      </w:tabs>
    </w:pPr>
    <w:rPr>
      <w:rFonts w:ascii="宋体" w:hAnsi="宋体"/>
      <w:sz w:val="24"/>
    </w:rPr>
  </w:style>
  <w:style w:type="paragraph" w:styleId="1239">
    <w:name w:val="List Paragraph"/>
    <w:basedOn w:val="802"/>
    <w:link w:val="1241"/>
    <w:uiPriority w:val="34"/>
    <w:qFormat/>
    <w:pPr>
      <w:ind w:firstLine="420"/>
    </w:pPr>
    <w:rPr>
      <w:rFonts w:ascii="Calibri" w:hAnsi="Calibri"/>
      <w:szCs w:val="22"/>
    </w:rPr>
  </w:style>
  <w:style w:type="paragraph" w:styleId="1240"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241" w:customStyle="1">
    <w:name w:val="列表段落 字符"/>
    <w:link w:val="1239"/>
    <w:uiPriority w:val="34"/>
    <w:qFormat/>
    <w:rPr>
      <w:rFonts w:ascii="Calibri" w:hAnsi="Calibri"/>
      <w:sz w:val="21"/>
      <w:szCs w:val="22"/>
    </w:rPr>
  </w:style>
  <w:style w:type="paragraph" w:styleId="1242" w:customStyle="1">
    <w:name w:val="列出段落"/>
    <w:basedOn w:val="802"/>
    <w:uiPriority w:val="34"/>
    <w:qFormat/>
    <w:pPr>
      <w:ind w:firstLine="420"/>
    </w:pPr>
  </w:style>
  <w:style w:type="paragraph" w:styleId="1243" w:customStyle="1">
    <w:name w:val="哈哈正文"/>
    <w:basedOn w:val="802"/>
    <w:uiPriority w:val="0"/>
    <w:qFormat/>
    <w:pPr>
      <w:ind w:firstLine="200"/>
      <w:spacing w:line="360" w:lineRule="auto"/>
    </w:pPr>
    <w:rPr>
      <w:rFonts w:ascii="宋体" w:hAnsi="宋体" w:cs="宋体"/>
      <w:sz w:val="24"/>
      <w:szCs w:val="20"/>
    </w:rPr>
  </w:style>
  <w:style w:type="paragraph" w:styleId="1244" w:customStyle="1">
    <w:name w:val="修订3"/>
    <w:hidden/>
    <w:uiPriority w:val="99"/>
    <w:semiHidden/>
    <w:qFormat/>
    <w:rPr>
      <w:rFonts w:ascii="Times New Roman" w:hAnsi="Times New Roman" w:eastAsia="宋体" w:cs="Times New Roman"/>
      <w:sz w:val="21"/>
      <w:szCs w:val="24"/>
      <w:lang w:val="en-US" w:eastAsia="zh-CN" w:bidi="ar-SA"/>
    </w:rPr>
  </w:style>
  <w:style w:type="paragraph" w:styleId="1245"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蒋咏来</cp:lastModifiedBy>
  <cp:revision>19</cp:revision>
  <dcterms:created xsi:type="dcterms:W3CDTF">2025-10-13T07:01:00Z</dcterms:created>
  <dcterms:modified xsi:type="dcterms:W3CDTF">2025-12-22T06:31:01Z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05E2B9FA1AA24DDA8E70E9270D078FDA_13</vt:lpwstr>
  </property>
  <property fmtid="{D5CDD505-2E9C-101B-9397-08002B2CF9AE}" pid="4" name="KSOTemplateDocerSaveRecord">
    <vt:lpwstr>eyJoZGlkIjoiODRhMDA0NzkyYzc4NDIyNGUzY2I0OGI5ODhkZGU5NTgiLCJ1c2VySWQiOiIzNTI2OTIwMzYifQ==</vt:lpwstr>
  </property>
</Properties>
</file>